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274" w:rsidRDefault="00585D9D">
      <w:pPr>
        <w:pStyle w:val="af"/>
        <w:tabs>
          <w:tab w:val="clear" w:pos="4536"/>
          <w:tab w:val="clear" w:pos="9072"/>
          <w:tab w:val="right" w:pos="9282"/>
          <w:tab w:val="right" w:pos="9492"/>
        </w:tabs>
        <w:snapToGrid w:val="0"/>
        <w:rPr>
          <w:rFonts w:eastAsia="宋体"/>
          <w:sz w:val="22"/>
          <w:szCs w:val="22"/>
          <w:lang w:eastAsia="zh-CN"/>
        </w:rPr>
      </w:pPr>
      <w:bookmarkStart w:id="0" w:name="_GoBack"/>
      <w:bookmarkEnd w:id="0"/>
      <w:r>
        <w:rPr>
          <w:sz w:val="22"/>
          <w:szCs w:val="22"/>
        </w:rPr>
        <w:t>3GPP TSG RAN Meeting #10</w:t>
      </w:r>
      <w:r>
        <w:rPr>
          <w:rFonts w:eastAsiaTheme="minorEastAsia"/>
          <w:sz w:val="22"/>
          <w:szCs w:val="22"/>
          <w:lang w:eastAsia="zh-CN"/>
        </w:rPr>
        <w:t>7</w:t>
      </w:r>
      <w:r>
        <w:rPr>
          <w:rFonts w:ascii="Times New Roman" w:eastAsia="宋体" w:hAnsi="Times New Roman"/>
          <w:sz w:val="22"/>
          <w:szCs w:val="22"/>
          <w:lang w:eastAsia="zh-CN"/>
        </w:rPr>
        <w:tab/>
      </w:r>
      <w:r>
        <w:rPr>
          <w:rFonts w:eastAsia="宋体" w:hint="eastAsia"/>
          <w:sz w:val="22"/>
          <w:szCs w:val="22"/>
          <w:lang w:eastAsia="zh-CN"/>
        </w:rPr>
        <w:t>RP-250567</w:t>
      </w:r>
    </w:p>
    <w:p w:rsidR="004D6274" w:rsidRDefault="00585D9D">
      <w:pPr>
        <w:snapToGrid w:val="0"/>
        <w:spacing w:line="240" w:lineRule="auto"/>
        <w:rPr>
          <w:rFonts w:ascii="Arial" w:eastAsiaTheme="minorEastAsia" w:hAnsi="Arial"/>
          <w:b/>
          <w:sz w:val="22"/>
        </w:rPr>
      </w:pPr>
      <w:r>
        <w:rPr>
          <w:rFonts w:ascii="Arial" w:eastAsia="MS Mincho" w:hAnsi="Arial"/>
          <w:b/>
          <w:sz w:val="22"/>
          <w:lang w:eastAsia="en-US"/>
        </w:rPr>
        <w:t>Incheon, Korea, March 12-14, 2</w:t>
      </w:r>
      <w:r>
        <w:rPr>
          <w:rFonts w:ascii="Arial" w:hAnsi="Arial"/>
          <w:b/>
          <w:sz w:val="22"/>
        </w:rPr>
        <w:t>02</w:t>
      </w:r>
      <w:r>
        <w:rPr>
          <w:rFonts w:ascii="Arial" w:eastAsiaTheme="minorEastAsia" w:hAnsi="Arial"/>
          <w:b/>
          <w:sz w:val="22"/>
        </w:rPr>
        <w:t>5</w:t>
      </w:r>
    </w:p>
    <w:p w:rsidR="004D6274" w:rsidRDefault="00585D9D">
      <w:pPr>
        <w:pStyle w:val="af"/>
        <w:tabs>
          <w:tab w:val="clear" w:pos="4536"/>
          <w:tab w:val="left" w:pos="1805"/>
        </w:tabs>
        <w:snapToGrid w:val="0"/>
        <w:spacing w:before="120"/>
        <w:ind w:left="1803" w:hanging="1803"/>
        <w:rPr>
          <w:rFonts w:ascii="Times New Roman" w:eastAsiaTheme="minorEastAsia"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Pr>
          <w:rFonts w:eastAsiaTheme="minorEastAsia" w:hint="eastAsia"/>
          <w:sz w:val="22"/>
          <w:szCs w:val="22"/>
          <w:lang w:eastAsia="zh-CN"/>
        </w:rPr>
        <w:t xml:space="preserve"> Corporation, Sanechips</w:t>
      </w:r>
    </w:p>
    <w:p w:rsidR="004D6274" w:rsidRDefault="00585D9D">
      <w:pPr>
        <w:pStyle w:val="af"/>
        <w:tabs>
          <w:tab w:val="left" w:pos="1800"/>
        </w:tabs>
        <w:snapToGrid w:val="0"/>
        <w:ind w:left="1840" w:hangingChars="833" w:hanging="1840"/>
        <w:rPr>
          <w:rFonts w:ascii="Times New Roman" w:eastAsiaTheme="minorEastAsia"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bookmarkStart w:id="1" w:name="OLE_LINK3"/>
      <w:r>
        <w:rPr>
          <w:rFonts w:eastAsiaTheme="minorEastAsia" w:hint="eastAsia"/>
          <w:sz w:val="22"/>
          <w:szCs w:val="22"/>
          <w:lang w:eastAsia="zh-CN"/>
        </w:rPr>
        <w:t>Views on RAN study for IMT-2030</w:t>
      </w:r>
      <w:bookmarkEnd w:id="1"/>
    </w:p>
    <w:p w:rsidR="004D6274" w:rsidRDefault="00585D9D">
      <w:pPr>
        <w:pStyle w:val="af"/>
        <w:tabs>
          <w:tab w:val="left" w:pos="1800"/>
        </w:tabs>
        <w:snapToGrid w:val="0"/>
        <w:rPr>
          <w:rFonts w:ascii="Times New Roman" w:eastAsiaTheme="minorEastAsia"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eastAsiaTheme="minorEastAsia" w:hint="eastAsia"/>
          <w:sz w:val="22"/>
          <w:szCs w:val="22"/>
          <w:lang w:eastAsia="zh-CN"/>
        </w:rPr>
        <w:t>16</w:t>
      </w:r>
    </w:p>
    <w:p w:rsidR="004D6274" w:rsidRDefault="00585D9D">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4D6274" w:rsidRDefault="00585D9D">
      <w:pPr>
        <w:numPr>
          <w:ilvl w:val="0"/>
          <w:numId w:val="7"/>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4D6274" w:rsidRDefault="00585D9D">
      <w:pPr>
        <w:snapToGrid w:val="0"/>
        <w:spacing w:before="120" w:afterLines="50" w:after="120" w:line="240" w:lineRule="auto"/>
        <w:jc w:val="both"/>
        <w:rPr>
          <w:rFonts w:eastAsia="微软雅黑"/>
          <w:szCs w:val="20"/>
          <w:lang w:val="en-GB"/>
        </w:rPr>
      </w:pPr>
      <w:r>
        <w:rPr>
          <w:rFonts w:eastAsia="微软雅黑" w:hint="eastAsia"/>
          <w:szCs w:val="20"/>
          <w:lang w:val="en-GB"/>
        </w:rPr>
        <w:t>I</w:t>
      </w:r>
      <w:r>
        <w:rPr>
          <w:rFonts w:eastAsia="微软雅黑"/>
          <w:szCs w:val="20"/>
          <w:lang w:val="en-GB"/>
        </w:rPr>
        <w:t>n RAN#10</w:t>
      </w:r>
      <w:r>
        <w:rPr>
          <w:rFonts w:eastAsia="微软雅黑" w:hint="eastAsia"/>
          <w:szCs w:val="20"/>
          <w:lang w:val="en-GB"/>
        </w:rPr>
        <w:t>3</w:t>
      </w:r>
      <w:r>
        <w:rPr>
          <w:rFonts w:eastAsia="微软雅黑" w:hint="eastAsia"/>
          <w:szCs w:val="20"/>
        </w:rPr>
        <w:t xml:space="preserve"> meeting</w:t>
      </w:r>
      <w:r>
        <w:rPr>
          <w:rFonts w:eastAsia="微软雅黑"/>
          <w:szCs w:val="20"/>
          <w:lang w:val="en-GB"/>
        </w:rPr>
        <w:t xml:space="preserve">, </w:t>
      </w:r>
      <w:r>
        <w:rPr>
          <w:rFonts w:eastAsia="微软雅黑" w:hint="eastAsia"/>
          <w:szCs w:val="20"/>
          <w:lang w:val="en-GB"/>
        </w:rPr>
        <w:t>the following RAN plenary work plan was agreed for IMT-2030 aspects</w:t>
      </w:r>
      <w:r>
        <w:rPr>
          <w:rFonts w:eastAsia="微软雅黑"/>
          <w:szCs w:val="20"/>
          <w:lang w:val="en-GB"/>
        </w:rPr>
        <w:t xml:space="preserve"> [1]</w:t>
      </w:r>
      <w:r>
        <w:rPr>
          <w:rFonts w:eastAsia="微软雅黑" w:hint="eastAsia"/>
          <w:szCs w:val="20"/>
        </w:rPr>
        <w:t xml:space="preserve"> where the RAN study includes two phases corresponding to ITU IMT-2030 TPR and 6G general aspects respectively.</w:t>
      </w:r>
      <w:r>
        <w:rPr>
          <w:rFonts w:eastAsia="微软雅黑" w:hint="eastAsia"/>
          <w:szCs w:val="20"/>
          <w:lang w:val="en-GB"/>
        </w:rPr>
        <w:t xml:space="preserve"> </w:t>
      </w:r>
    </w:p>
    <w:tbl>
      <w:tblPr>
        <w:tblStyle w:val="af7"/>
        <w:tblW w:w="0" w:type="auto"/>
        <w:tblLook w:val="04A0" w:firstRow="1" w:lastRow="0" w:firstColumn="1" w:lastColumn="0" w:noHBand="0" w:noVBand="1"/>
      </w:tblPr>
      <w:tblGrid>
        <w:gridCol w:w="9350"/>
      </w:tblGrid>
      <w:tr w:rsidR="004D6274">
        <w:tc>
          <w:tcPr>
            <w:tcW w:w="9576" w:type="dxa"/>
          </w:tcPr>
          <w:p w:rsidR="004D6274" w:rsidRDefault="00585D9D">
            <w:pPr>
              <w:snapToGrid w:val="0"/>
              <w:spacing w:before="120" w:afterLines="50" w:after="120" w:line="240" w:lineRule="auto"/>
              <w:rPr>
                <w:szCs w:val="20"/>
              </w:rPr>
            </w:pPr>
            <w:r>
              <w:rPr>
                <w:szCs w:val="20"/>
              </w:rPr>
              <w:t>RAN plenary work is split into an ITU focused SI (study item) and General RAN SI</w:t>
            </w:r>
          </w:p>
          <w:p w:rsidR="004D6274" w:rsidRDefault="00585D9D">
            <w:pPr>
              <w:pStyle w:val="1a"/>
              <w:numPr>
                <w:ilvl w:val="0"/>
                <w:numId w:val="8"/>
              </w:numPr>
              <w:spacing w:before="120" w:beforeAutospacing="0" w:afterLines="50"/>
              <w:ind w:firstLineChars="0"/>
              <w:rPr>
                <w:sz w:val="20"/>
                <w:szCs w:val="20"/>
              </w:rPr>
            </w:pPr>
            <w:r>
              <w:rPr>
                <w:sz w:val="20"/>
                <w:szCs w:val="20"/>
              </w:rPr>
              <w:t>IMT-2030 discussion is expected in RAN from 09/24 to 12/24</w:t>
            </w:r>
          </w:p>
          <w:p w:rsidR="004D6274" w:rsidRDefault="00585D9D">
            <w:pPr>
              <w:pStyle w:val="1a"/>
              <w:numPr>
                <w:ilvl w:val="0"/>
                <w:numId w:val="8"/>
              </w:numPr>
              <w:spacing w:before="120" w:beforeAutospacing="0" w:afterLines="50"/>
              <w:ind w:firstLineChars="0"/>
              <w:rPr>
                <w:sz w:val="20"/>
                <w:szCs w:val="20"/>
              </w:rPr>
            </w:pPr>
            <w:r>
              <w:rPr>
                <w:sz w:val="20"/>
                <w:szCs w:val="20"/>
              </w:rPr>
              <w:t>RP SI Rel-20 focusing on ITU– IMT-2030: approval 12/24 until 06/25</w:t>
            </w:r>
          </w:p>
          <w:p w:rsidR="004D6274" w:rsidRDefault="00585D9D">
            <w:pPr>
              <w:pStyle w:val="1a"/>
              <w:numPr>
                <w:ilvl w:val="0"/>
                <w:numId w:val="8"/>
              </w:numPr>
              <w:spacing w:before="120" w:beforeAutospacing="0" w:afterLines="50"/>
              <w:ind w:firstLineChars="0"/>
              <w:rPr>
                <w:sz w:val="20"/>
                <w:szCs w:val="20"/>
              </w:rPr>
            </w:pPr>
            <w:r>
              <w:rPr>
                <w:sz w:val="20"/>
                <w:szCs w:val="20"/>
              </w:rPr>
              <w:t>RP SI Rel-20 focusing on 6G General: approval 03/25 (after WS), until 06/26</w:t>
            </w:r>
          </w:p>
        </w:tc>
      </w:tr>
    </w:tbl>
    <w:p w:rsidR="004D6274" w:rsidRDefault="00585D9D">
      <w:pPr>
        <w:widowControl w:val="0"/>
        <w:tabs>
          <w:tab w:val="left" w:pos="90"/>
          <w:tab w:val="left" w:pos="1868"/>
          <w:tab w:val="right" w:pos="10648"/>
        </w:tabs>
        <w:autoSpaceDE w:val="0"/>
        <w:autoSpaceDN w:val="0"/>
        <w:adjustRightInd w:val="0"/>
        <w:snapToGrid w:val="0"/>
        <w:spacing w:before="120" w:afterLines="50" w:after="120" w:line="240" w:lineRule="auto"/>
        <w:jc w:val="both"/>
        <w:rPr>
          <w:rFonts w:eastAsia="微软雅黑"/>
          <w:szCs w:val="20"/>
        </w:rPr>
      </w:pPr>
      <w:r>
        <w:rPr>
          <w:rFonts w:eastAsia="微软雅黑" w:hint="eastAsia"/>
          <w:szCs w:val="20"/>
        </w:rPr>
        <w:t xml:space="preserve">In RAN#106 meeting, the new SID was endorsed for Study on 6G scenarios/use cases and requirements where the first phase on ITU TPR part is included but the second phase on general 6G aspect will be filled in this March RAN plenary meeting.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274">
        <w:trPr>
          <w:trHeight w:val="2213"/>
        </w:trPr>
        <w:tc>
          <w:tcPr>
            <w:tcW w:w="9576" w:type="dxa"/>
          </w:tcPr>
          <w:p w:rsidR="004D6274" w:rsidRDefault="00585D9D">
            <w:pPr>
              <w:snapToGrid w:val="0"/>
              <w:spacing w:before="120" w:afterLines="50" w:after="120" w:line="240" w:lineRule="auto"/>
              <w:rPr>
                <w:bCs/>
              </w:rPr>
            </w:pPr>
            <w:r>
              <w:rPr>
                <w:bCs/>
              </w:rPr>
              <w:t xml:space="preserve">This study item aims to </w:t>
            </w:r>
          </w:p>
          <w:p w:rsidR="004D6274" w:rsidRDefault="00585D9D">
            <w:pPr>
              <w:pStyle w:val="aff0"/>
              <w:numPr>
                <w:ilvl w:val="0"/>
                <w:numId w:val="9"/>
              </w:numPr>
              <w:snapToGrid w:val="0"/>
              <w:spacing w:before="120" w:afterLines="50" w:after="120" w:line="240" w:lineRule="auto"/>
              <w:ind w:firstLine="400"/>
            </w:pPr>
            <w:r>
              <w:t>investigate a candidate set of items for minimum TPRs based on the Recommendation ITU-R M.2160, and</w:t>
            </w:r>
            <w:r>
              <w:rPr>
                <w:rFonts w:hint="eastAsia"/>
              </w:rPr>
              <w:t>, where applicable,</w:t>
            </w:r>
            <w:r>
              <w:t xml:space="preserve"> the associated target values </w:t>
            </w:r>
            <w:r>
              <w:rPr>
                <w:rFonts w:hint="eastAsia"/>
              </w:rPr>
              <w:t xml:space="preserve">and key assumptions </w:t>
            </w:r>
            <w:r>
              <w:t>for the identified minimum TPRs.</w:t>
            </w:r>
          </w:p>
          <w:p w:rsidR="004D6274" w:rsidRDefault="00585D9D">
            <w:pPr>
              <w:pStyle w:val="aff0"/>
              <w:numPr>
                <w:ilvl w:val="1"/>
                <w:numId w:val="9"/>
              </w:numPr>
              <w:snapToGrid w:val="0"/>
              <w:spacing w:before="120" w:afterLines="50" w:after="120" w:line="240" w:lineRule="auto"/>
              <w:ind w:firstLine="400"/>
            </w:pPr>
            <w:r>
              <w:t xml:space="preserve">The outcome is expected to be shared </w:t>
            </w:r>
            <w:r>
              <w:rPr>
                <w:rFonts w:hint="eastAsia"/>
              </w:rPr>
              <w:t xml:space="preserve">by LS </w:t>
            </w:r>
            <w:r>
              <w:t>with ITU-R WP5D, as suitable, and used as a baseline for the subsequent study 6G in RAN</w:t>
            </w:r>
          </w:p>
          <w:p w:rsidR="004D6274" w:rsidRDefault="004D6274">
            <w:pPr>
              <w:snapToGrid w:val="0"/>
              <w:spacing w:before="120" w:afterLines="50" w:after="120" w:line="240" w:lineRule="auto"/>
              <w:rPr>
                <w:bCs/>
              </w:rPr>
            </w:pPr>
          </w:p>
          <w:p w:rsidR="004D6274" w:rsidRDefault="00585D9D">
            <w:pPr>
              <w:pStyle w:val="aff0"/>
              <w:numPr>
                <w:ilvl w:val="0"/>
                <w:numId w:val="9"/>
              </w:numPr>
              <w:snapToGrid w:val="0"/>
              <w:spacing w:before="120" w:afterLines="50" w:after="120" w:line="240" w:lineRule="auto"/>
              <w:ind w:firstLine="400"/>
              <w:rPr>
                <w:rFonts w:eastAsia="微软雅黑"/>
                <w:szCs w:val="20"/>
              </w:rPr>
            </w:pPr>
            <w:r>
              <w:rPr>
                <w:color w:val="FF0000"/>
                <w:u w:val="single"/>
              </w:rPr>
              <w:t>[To fill in additional objectives, on general 6G RAN study, in March’2025]</w:t>
            </w:r>
            <w:r>
              <w:rPr>
                <w:rFonts w:eastAsia="宋体" w:hint="eastAsia"/>
                <w:color w:val="FF0000"/>
                <w:u w:val="single"/>
              </w:rPr>
              <w:t xml:space="preserve"> </w:t>
            </w:r>
          </w:p>
        </w:tc>
      </w:tr>
    </w:tbl>
    <w:p w:rsidR="004D6274" w:rsidRDefault="00585D9D">
      <w:pPr>
        <w:snapToGrid w:val="0"/>
        <w:spacing w:before="120" w:afterLines="50" w:after="120" w:line="300" w:lineRule="auto"/>
        <w:jc w:val="both"/>
        <w:rPr>
          <w:rFonts w:eastAsia="微软雅黑"/>
          <w:szCs w:val="20"/>
          <w:lang w:val="en-GB"/>
        </w:rPr>
      </w:pPr>
      <w:r>
        <w:rPr>
          <w:rFonts w:eastAsia="微软雅黑" w:hint="eastAsia"/>
          <w:szCs w:val="20"/>
        </w:rPr>
        <w:t>I</w:t>
      </w:r>
      <w:r>
        <w:rPr>
          <w:rFonts w:eastAsia="微软雅黑"/>
          <w:szCs w:val="20"/>
        </w:rPr>
        <w:t>n this contribution, we elaborate</w:t>
      </w:r>
      <w:r>
        <w:rPr>
          <w:rFonts w:eastAsia="微软雅黑" w:hint="eastAsia"/>
          <w:szCs w:val="20"/>
        </w:rPr>
        <w:t xml:space="preserve"> our views on both study phases.</w:t>
      </w:r>
    </w:p>
    <w:p w:rsidR="004D6274" w:rsidRDefault="00585D9D">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TPR candidates and values</w:t>
      </w:r>
    </w:p>
    <w:p w:rsidR="004D6274" w:rsidRDefault="00585D9D">
      <w:pPr>
        <w:snapToGrid w:val="0"/>
        <w:jc w:val="both"/>
        <w:rPr>
          <w:rFonts w:eastAsiaTheme="minorEastAsia"/>
        </w:rPr>
      </w:pPr>
      <w:r>
        <w:rPr>
          <w:rFonts w:eastAsiaTheme="minorEastAsia" w:hint="eastAsia"/>
        </w:rPr>
        <w:t>During ITU-R WP5D#47, an LS was formulated and output to external organizations including 3GPP featuring invited input as below [3]</w:t>
      </w:r>
    </w:p>
    <w:tbl>
      <w:tblPr>
        <w:tblStyle w:val="af7"/>
        <w:tblW w:w="0" w:type="auto"/>
        <w:tblLook w:val="04A0" w:firstRow="1" w:lastRow="0" w:firstColumn="1" w:lastColumn="0" w:noHBand="0" w:noVBand="1"/>
      </w:tblPr>
      <w:tblGrid>
        <w:gridCol w:w="9350"/>
      </w:tblGrid>
      <w:tr w:rsidR="004D6274">
        <w:tc>
          <w:tcPr>
            <w:tcW w:w="9576" w:type="dxa"/>
          </w:tcPr>
          <w:p w:rsidR="004D6274" w:rsidRDefault="00585D9D">
            <w:pPr>
              <w:widowControl w:val="0"/>
              <w:snapToGrid w:val="0"/>
              <w:spacing w:beforeLines="50" w:before="120" w:afterLines="50" w:after="120"/>
              <w:rPr>
                <w:rFonts w:eastAsia="宋体"/>
                <w:szCs w:val="20"/>
              </w:rPr>
            </w:pPr>
            <w:r>
              <w:rPr>
                <w:rStyle w:val="150"/>
                <w:color w:val="000000"/>
                <w:szCs w:val="20"/>
              </w:rPr>
              <w:t>Working Party</w:t>
            </w:r>
            <w:r>
              <w:rPr>
                <w:szCs w:val="20"/>
              </w:rPr>
              <w:t xml:space="preserve"> 5D kindly invites External Organizations to provide their inputs on the minimum technical performance requirements for IMT-2030 radio interface technologies, including but not limited to,</w:t>
            </w:r>
          </w:p>
          <w:p w:rsidR="004D6274" w:rsidRDefault="00585D9D">
            <w:pPr>
              <w:pStyle w:val="enumlev1"/>
              <w:widowControl w:val="0"/>
              <w:snapToGrid w:val="0"/>
              <w:spacing w:beforeLines="50" w:before="120" w:afterLines="50" w:after="120"/>
              <w:ind w:left="426" w:hanging="426"/>
              <w:jc w:val="both"/>
              <w:rPr>
                <w:sz w:val="20"/>
              </w:rPr>
            </w:pPr>
            <w:r>
              <w:rPr>
                <w:sz w:val="20"/>
              </w:rPr>
              <w:t>–</w:t>
            </w:r>
            <w:r>
              <w:rPr>
                <w:sz w:val="20"/>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rsidR="004D6274" w:rsidRDefault="00585D9D">
            <w:pPr>
              <w:pStyle w:val="enumlev1"/>
              <w:widowControl w:val="0"/>
              <w:snapToGrid w:val="0"/>
              <w:spacing w:beforeLines="50" w:before="120" w:afterLines="50" w:after="120"/>
              <w:ind w:left="426" w:hanging="426"/>
              <w:jc w:val="both"/>
              <w:rPr>
                <w:sz w:val="20"/>
              </w:rPr>
            </w:pPr>
            <w:r>
              <w:rPr>
                <w:sz w:val="20"/>
              </w:rPr>
              <w:t>–</w:t>
            </w:r>
            <w:r>
              <w:rPr>
                <w:sz w:val="20"/>
              </w:rPr>
              <w:tab/>
              <w:t xml:space="preserve">Proposed associated target values for the above candidate items for the minimum technical performance requirements which are requested to be provided preferably by WP 5D #49 (24 June – 3 July 2025, TBC) </w:t>
            </w:r>
          </w:p>
        </w:tc>
      </w:tr>
    </w:tbl>
    <w:p w:rsidR="004D6274" w:rsidRDefault="00585D9D">
      <w:pPr>
        <w:snapToGrid w:val="0"/>
        <w:spacing w:beforeLines="50" w:before="120" w:after="120" w:line="240" w:lineRule="auto"/>
        <w:jc w:val="both"/>
        <w:rPr>
          <w:rFonts w:eastAsiaTheme="minorEastAsia"/>
        </w:rPr>
      </w:pPr>
      <w:r>
        <w:rPr>
          <w:rFonts w:eastAsiaTheme="minorEastAsia"/>
        </w:rPr>
        <w:t>3GPP TSG RAN#106 in December 2024 adopted the study plan as below:</w:t>
      </w:r>
    </w:p>
    <w:tbl>
      <w:tblPr>
        <w:tblStyle w:val="af7"/>
        <w:tblW w:w="0" w:type="auto"/>
        <w:tblLook w:val="04A0" w:firstRow="1" w:lastRow="0" w:firstColumn="1" w:lastColumn="0" w:noHBand="0" w:noVBand="1"/>
      </w:tblPr>
      <w:tblGrid>
        <w:gridCol w:w="9350"/>
      </w:tblGrid>
      <w:tr w:rsidR="004D6274">
        <w:tc>
          <w:tcPr>
            <w:tcW w:w="9576" w:type="dxa"/>
          </w:tcPr>
          <w:p w:rsidR="004D6274" w:rsidRDefault="00585D9D">
            <w:pPr>
              <w:numPr>
                <w:ilvl w:val="0"/>
                <w:numId w:val="10"/>
              </w:numPr>
              <w:snapToGrid w:val="0"/>
              <w:spacing w:after="0" w:line="240" w:lineRule="auto"/>
              <w:rPr>
                <w:rFonts w:eastAsiaTheme="minorEastAsia"/>
                <w:lang w:val="en-GB"/>
              </w:rPr>
            </w:pPr>
            <w:r>
              <w:rPr>
                <w:rFonts w:eastAsiaTheme="minorEastAsia"/>
                <w:lang w:val="en-GB"/>
              </w:rPr>
              <w:t>RAN#106 (</w:t>
            </w:r>
            <w:r>
              <w:rPr>
                <w:rFonts w:eastAsiaTheme="minorEastAsia" w:hint="eastAsia"/>
                <w:lang w:val="en-GB"/>
              </w:rPr>
              <w:t>December</w:t>
            </w:r>
            <w:r>
              <w:rPr>
                <w:rFonts w:eastAsiaTheme="minorEastAsia"/>
                <w:lang w:val="en-GB"/>
              </w:rPr>
              <w:t xml:space="preserve"> 2024)</w:t>
            </w:r>
          </w:p>
          <w:p w:rsidR="004D6274" w:rsidRDefault="00585D9D">
            <w:pPr>
              <w:numPr>
                <w:ilvl w:val="0"/>
                <w:numId w:val="11"/>
              </w:numPr>
              <w:snapToGrid w:val="0"/>
              <w:spacing w:after="0" w:line="240" w:lineRule="auto"/>
              <w:rPr>
                <w:rFonts w:eastAsiaTheme="minorEastAsia"/>
                <w:lang w:val="en-GB"/>
              </w:rPr>
            </w:pPr>
            <w:r>
              <w:rPr>
                <w:rFonts w:eastAsiaTheme="minorEastAsia"/>
                <w:lang w:val="en-GB"/>
              </w:rPr>
              <w:t>Initial discussion on the possible TPRs</w:t>
            </w:r>
          </w:p>
          <w:p w:rsidR="004D6274" w:rsidRDefault="00585D9D">
            <w:pPr>
              <w:numPr>
                <w:ilvl w:val="0"/>
                <w:numId w:val="12"/>
              </w:numPr>
              <w:snapToGrid w:val="0"/>
              <w:spacing w:after="0" w:line="240" w:lineRule="auto"/>
              <w:rPr>
                <w:rFonts w:eastAsiaTheme="minorEastAsia"/>
                <w:lang w:val="en-GB"/>
              </w:rPr>
            </w:pPr>
            <w:r>
              <w:rPr>
                <w:rFonts w:eastAsiaTheme="minorEastAsia"/>
                <w:lang w:val="en-GB"/>
              </w:rPr>
              <w:lastRenderedPageBreak/>
              <w:t>RAN#107 (March 2025)</w:t>
            </w:r>
          </w:p>
          <w:p w:rsidR="004D6274" w:rsidRDefault="00585D9D">
            <w:pPr>
              <w:numPr>
                <w:ilvl w:val="0"/>
                <w:numId w:val="11"/>
              </w:numPr>
              <w:snapToGrid w:val="0"/>
              <w:spacing w:after="0" w:line="240" w:lineRule="auto"/>
              <w:rPr>
                <w:rFonts w:eastAsiaTheme="minorEastAsia"/>
                <w:lang w:val="en-GB"/>
              </w:rPr>
            </w:pPr>
            <w:r>
              <w:rPr>
                <w:rFonts w:eastAsiaTheme="minorEastAsia"/>
                <w:lang w:val="en-GB"/>
              </w:rPr>
              <w:t>Aim to finalize the candidate set of TPRs</w:t>
            </w:r>
          </w:p>
          <w:p w:rsidR="004D6274" w:rsidRDefault="00585D9D">
            <w:pPr>
              <w:numPr>
                <w:ilvl w:val="0"/>
                <w:numId w:val="11"/>
              </w:numPr>
              <w:snapToGrid w:val="0"/>
              <w:spacing w:after="0" w:line="240" w:lineRule="auto"/>
              <w:rPr>
                <w:rFonts w:eastAsiaTheme="minorEastAsia"/>
                <w:lang w:val="en-GB"/>
              </w:rPr>
            </w:pPr>
            <w:r>
              <w:rPr>
                <w:rFonts w:eastAsiaTheme="minorEastAsia"/>
                <w:lang w:val="en-GB"/>
              </w:rPr>
              <w:t>Initial discussion on the associated values of the identified TPRs</w:t>
            </w:r>
          </w:p>
          <w:p w:rsidR="004D6274" w:rsidRDefault="00585D9D">
            <w:pPr>
              <w:numPr>
                <w:ilvl w:val="0"/>
                <w:numId w:val="12"/>
              </w:numPr>
              <w:snapToGrid w:val="0"/>
              <w:spacing w:after="0" w:line="240" w:lineRule="auto"/>
              <w:rPr>
                <w:rFonts w:eastAsiaTheme="minorEastAsia"/>
                <w:lang w:val="en-GB"/>
              </w:rPr>
            </w:pPr>
            <w:r>
              <w:rPr>
                <w:rFonts w:eastAsiaTheme="minorEastAsia"/>
                <w:lang w:val="en-GB"/>
              </w:rPr>
              <w:t>RAN#108 (June 2025)</w:t>
            </w:r>
          </w:p>
          <w:p w:rsidR="004D6274" w:rsidRDefault="00585D9D">
            <w:pPr>
              <w:numPr>
                <w:ilvl w:val="0"/>
                <w:numId w:val="11"/>
              </w:numPr>
              <w:snapToGrid w:val="0"/>
              <w:spacing w:after="0" w:line="240" w:lineRule="auto"/>
              <w:rPr>
                <w:rFonts w:eastAsiaTheme="minorEastAsia"/>
                <w:lang w:val="en-GB"/>
              </w:rPr>
            </w:pPr>
            <w:r>
              <w:rPr>
                <w:rFonts w:eastAsiaTheme="minorEastAsia"/>
                <w:lang w:val="en-GB"/>
              </w:rPr>
              <w:t>Aim to finalize the associated values of the identified TPRs.</w:t>
            </w:r>
          </w:p>
          <w:p w:rsidR="004D6274" w:rsidRDefault="00585D9D">
            <w:pPr>
              <w:numPr>
                <w:ilvl w:val="0"/>
                <w:numId w:val="12"/>
              </w:numPr>
              <w:snapToGrid w:val="0"/>
              <w:spacing w:after="0" w:line="240" w:lineRule="auto"/>
              <w:rPr>
                <w:rFonts w:eastAsiaTheme="minorEastAsia"/>
                <w:lang w:val="en-GB"/>
              </w:rPr>
            </w:pPr>
            <w:r>
              <w:rPr>
                <w:rFonts w:eastAsiaTheme="minorEastAsia"/>
                <w:bCs/>
                <w:lang w:val="en-GB"/>
              </w:rPr>
              <w:t xml:space="preserve">After </w:t>
            </w:r>
            <w:r>
              <w:rPr>
                <w:rFonts w:eastAsiaTheme="minorEastAsia"/>
                <w:lang w:val="en-GB"/>
              </w:rPr>
              <w:t xml:space="preserve">RAN#108 </w:t>
            </w:r>
          </w:p>
          <w:p w:rsidR="004D6274" w:rsidRDefault="00585D9D">
            <w:pPr>
              <w:numPr>
                <w:ilvl w:val="0"/>
                <w:numId w:val="11"/>
              </w:numPr>
              <w:snapToGrid w:val="0"/>
              <w:spacing w:after="0" w:line="240" w:lineRule="auto"/>
              <w:rPr>
                <w:rFonts w:eastAsiaTheme="minorEastAsia"/>
                <w:lang w:val="en-GB"/>
              </w:rPr>
            </w:pPr>
            <w:r>
              <w:rPr>
                <w:rFonts w:eastAsiaTheme="minorEastAsia"/>
                <w:lang w:val="en-GB"/>
              </w:rPr>
              <w:t>Any remaining issues on 6G focusing on ITU-R may continue, if needed</w:t>
            </w:r>
          </w:p>
        </w:tc>
      </w:tr>
    </w:tbl>
    <w:p w:rsidR="004D6274" w:rsidRDefault="00585D9D">
      <w:pPr>
        <w:snapToGrid w:val="0"/>
        <w:spacing w:beforeLines="50" w:before="120" w:after="120" w:line="240" w:lineRule="auto"/>
        <w:jc w:val="both"/>
        <w:rPr>
          <w:rFonts w:eastAsiaTheme="minorEastAsia"/>
        </w:rPr>
      </w:pPr>
      <w:r>
        <w:rPr>
          <w:rFonts w:eastAsiaTheme="minorEastAsia" w:hint="eastAsia"/>
        </w:rPr>
        <w:lastRenderedPageBreak/>
        <w:t>B</w:t>
      </w:r>
      <w:r>
        <w:rPr>
          <w:rFonts w:eastAsiaTheme="minorEastAsia"/>
        </w:rPr>
        <w:t xml:space="preserve">ased on the  LS </w:t>
      </w:r>
      <w:r>
        <w:rPr>
          <w:rFonts w:eastAsiaTheme="minorEastAsia"/>
        </w:rPr>
        <w:t xml:space="preserve">from ITU-R WP5D </w:t>
      </w:r>
      <w:r>
        <w:rPr>
          <w:rFonts w:eastAsiaTheme="minorEastAsia"/>
        </w:rPr>
        <w:t xml:space="preserve">and RAN study plan, our proposals are provided to facilitate discussion regarding the following </w:t>
      </w:r>
      <w:r>
        <w:rPr>
          <w:rFonts w:eastAsiaTheme="minorEastAsia" w:hint="eastAsia"/>
        </w:rPr>
        <w:t xml:space="preserve">two </w:t>
      </w:r>
      <w:r>
        <w:rPr>
          <w:rFonts w:eastAsiaTheme="minorEastAsia"/>
        </w:rPr>
        <w:t>aspects:</w:t>
      </w:r>
    </w:p>
    <w:p w:rsidR="004D6274" w:rsidRDefault="00585D9D">
      <w:pPr>
        <w:pStyle w:val="aff0"/>
        <w:numPr>
          <w:ilvl w:val="0"/>
          <w:numId w:val="13"/>
        </w:numPr>
        <w:snapToGrid w:val="0"/>
        <w:spacing w:beforeLines="50" w:before="120" w:after="120" w:line="240" w:lineRule="auto"/>
        <w:ind w:firstLineChars="0"/>
        <w:rPr>
          <w:rFonts w:eastAsiaTheme="minorEastAsia"/>
        </w:rPr>
      </w:pPr>
      <w:r>
        <w:rPr>
          <w:rFonts w:eastAsiaTheme="minorEastAsia"/>
        </w:rPr>
        <w:t>Candidate IMT-2030 TPR list</w:t>
      </w:r>
    </w:p>
    <w:p w:rsidR="004D6274" w:rsidRDefault="00585D9D">
      <w:pPr>
        <w:pStyle w:val="aff0"/>
        <w:numPr>
          <w:ilvl w:val="0"/>
          <w:numId w:val="13"/>
        </w:numPr>
        <w:snapToGrid w:val="0"/>
        <w:spacing w:beforeLines="50" w:before="120" w:after="120" w:line="240" w:lineRule="auto"/>
        <w:ind w:firstLineChars="0"/>
        <w:rPr>
          <w:rFonts w:eastAsiaTheme="minorEastAsia"/>
        </w:rPr>
      </w:pPr>
      <w:r>
        <w:rPr>
          <w:rFonts w:eastAsiaTheme="minorEastAsia"/>
        </w:rPr>
        <w:t>Target values of proposed TPRs</w:t>
      </w:r>
    </w:p>
    <w:p w:rsidR="004D6274" w:rsidRDefault="004D6274">
      <w:pPr>
        <w:snapToGrid w:val="0"/>
        <w:spacing w:after="120" w:line="240" w:lineRule="auto"/>
        <w:rPr>
          <w:rFonts w:eastAsiaTheme="minorEastAsia"/>
        </w:rPr>
      </w:pPr>
    </w:p>
    <w:p w:rsidR="004D6274" w:rsidRDefault="00585D9D">
      <w:pPr>
        <w:keepNext/>
        <w:widowControl w:val="0"/>
        <w:numPr>
          <w:ilvl w:val="1"/>
          <w:numId w:val="7"/>
        </w:numPr>
        <w:tabs>
          <w:tab w:val="left" w:pos="432"/>
          <w:tab w:val="left" w:pos="3686"/>
          <w:tab w:val="left" w:pos="4536"/>
        </w:tabs>
        <w:autoSpaceDE w:val="0"/>
        <w:autoSpaceDN w:val="0"/>
        <w:adjustRightInd w:val="0"/>
        <w:snapToGrid w:val="0"/>
        <w:spacing w:beforeLines="50" w:before="120" w:afterLines="50" w:after="120" w:line="240" w:lineRule="auto"/>
        <w:ind w:left="578" w:hanging="578"/>
        <w:textAlignment w:val="baseline"/>
        <w:outlineLvl w:val="1"/>
        <w:rPr>
          <w:rFonts w:eastAsia="Arial Unicode MS"/>
          <w:b/>
          <w:bCs/>
          <w:sz w:val="24"/>
          <w:szCs w:val="28"/>
        </w:rPr>
      </w:pPr>
      <w:r>
        <w:rPr>
          <w:rFonts w:eastAsia="Arial Unicode MS"/>
          <w:b/>
          <w:bCs/>
          <w:sz w:val="24"/>
          <w:szCs w:val="28"/>
        </w:rPr>
        <w:t>Candidate IMT-2030 TPRs</w:t>
      </w:r>
      <w:r>
        <w:rPr>
          <w:rFonts w:eastAsia="Arial Unicode MS" w:hint="eastAsia"/>
          <w:b/>
          <w:bCs/>
          <w:sz w:val="24"/>
          <w:szCs w:val="28"/>
        </w:rPr>
        <w:t xml:space="preserve"> </w:t>
      </w:r>
    </w:p>
    <w:p w:rsidR="004D6274" w:rsidRDefault="00585D9D">
      <w:pPr>
        <w:snapToGrid w:val="0"/>
        <w:jc w:val="both"/>
        <w:rPr>
          <w:rFonts w:eastAsiaTheme="minorEastAsia"/>
        </w:rPr>
      </w:pPr>
      <w:r>
        <w:rPr>
          <w:rFonts w:eastAsiaTheme="minorEastAsia" w:hint="eastAsia"/>
        </w:rPr>
        <w:t>D</w:t>
      </w:r>
      <w:r>
        <w:rPr>
          <w:rFonts w:eastAsiaTheme="minorEastAsia"/>
        </w:rPr>
        <w:t>uring RAN#106 meeting</w:t>
      </w:r>
      <w:r>
        <w:rPr>
          <w:rFonts w:eastAsiaTheme="minorEastAsia" w:hint="eastAsia"/>
        </w:rPr>
        <w:t xml:space="preserve"> in December 2024</w:t>
      </w:r>
      <w:r>
        <w:rPr>
          <w:rFonts w:eastAsiaTheme="minorEastAsia"/>
        </w:rPr>
        <w:t>, an initial view of candidate IMT-2030 TPRs was agreed and a list was provided to ITU-R WP5D:</w:t>
      </w:r>
    </w:p>
    <w:tbl>
      <w:tblPr>
        <w:tblStyle w:val="af7"/>
        <w:tblW w:w="0" w:type="auto"/>
        <w:jc w:val="center"/>
        <w:tblLook w:val="04A0" w:firstRow="1" w:lastRow="0" w:firstColumn="1" w:lastColumn="0" w:noHBand="0" w:noVBand="1"/>
      </w:tblPr>
      <w:tblGrid>
        <w:gridCol w:w="5070"/>
      </w:tblGrid>
      <w:tr w:rsidR="004D6274">
        <w:trPr>
          <w:jc w:val="center"/>
        </w:trPr>
        <w:tc>
          <w:tcPr>
            <w:tcW w:w="5070" w:type="dxa"/>
          </w:tcPr>
          <w:p w:rsidR="004D6274" w:rsidRDefault="00585D9D">
            <w:pPr>
              <w:snapToGrid w:val="0"/>
              <w:spacing w:after="0" w:line="240" w:lineRule="auto"/>
              <w:rPr>
                <w:rFonts w:eastAsiaTheme="minorEastAsia"/>
                <w:lang w:val="en-GB"/>
              </w:rPr>
            </w:pPr>
            <w:r>
              <w:rPr>
                <w:rFonts w:eastAsiaTheme="minorEastAsia"/>
                <w:lang w:val="en-GB"/>
              </w:rPr>
              <w:t>1.</w:t>
            </w:r>
            <w:r>
              <w:rPr>
                <w:rFonts w:eastAsiaTheme="minorEastAsia"/>
                <w:lang w:val="en-GB"/>
              </w:rPr>
              <w:tab/>
              <w:t>Peak data rate</w:t>
            </w:r>
          </w:p>
          <w:p w:rsidR="004D6274" w:rsidRDefault="00585D9D">
            <w:pPr>
              <w:snapToGrid w:val="0"/>
              <w:spacing w:after="0" w:line="240" w:lineRule="auto"/>
              <w:rPr>
                <w:rFonts w:eastAsiaTheme="minorEastAsia"/>
                <w:lang w:val="en-GB"/>
              </w:rPr>
            </w:pPr>
            <w:r>
              <w:rPr>
                <w:rFonts w:eastAsiaTheme="minorEastAsia"/>
                <w:lang w:val="en-GB"/>
              </w:rPr>
              <w:t>2.</w:t>
            </w:r>
            <w:r>
              <w:rPr>
                <w:rFonts w:eastAsiaTheme="minorEastAsia"/>
                <w:lang w:val="en-GB"/>
              </w:rPr>
              <w:tab/>
              <w:t xml:space="preserve">Peak spectral efficiency </w:t>
            </w:r>
          </w:p>
          <w:p w:rsidR="004D6274" w:rsidRDefault="00585D9D">
            <w:pPr>
              <w:snapToGrid w:val="0"/>
              <w:spacing w:after="0" w:line="240" w:lineRule="auto"/>
              <w:rPr>
                <w:rFonts w:eastAsiaTheme="minorEastAsia"/>
                <w:lang w:val="en-GB"/>
              </w:rPr>
            </w:pPr>
            <w:r>
              <w:rPr>
                <w:rFonts w:eastAsiaTheme="minorEastAsia"/>
                <w:lang w:val="en-GB"/>
              </w:rPr>
              <w:t>3.</w:t>
            </w:r>
            <w:r>
              <w:rPr>
                <w:rFonts w:eastAsiaTheme="minorEastAsia"/>
                <w:lang w:val="en-GB"/>
              </w:rPr>
              <w:tab/>
              <w:t xml:space="preserve">User experienced data rate </w:t>
            </w:r>
          </w:p>
          <w:p w:rsidR="004D6274" w:rsidRDefault="00585D9D">
            <w:pPr>
              <w:snapToGrid w:val="0"/>
              <w:spacing w:after="0" w:line="240" w:lineRule="auto"/>
              <w:rPr>
                <w:rFonts w:eastAsiaTheme="minorEastAsia"/>
                <w:lang w:val="en-GB"/>
              </w:rPr>
            </w:pPr>
            <w:r>
              <w:rPr>
                <w:rFonts w:eastAsiaTheme="minorEastAsia"/>
                <w:lang w:val="en-GB"/>
              </w:rPr>
              <w:t>4.</w:t>
            </w:r>
            <w:r>
              <w:rPr>
                <w:rFonts w:eastAsiaTheme="minorEastAsia"/>
                <w:lang w:val="en-GB"/>
              </w:rPr>
              <w:tab/>
              <w:t xml:space="preserve">5th percentile user spectral efficiency </w:t>
            </w:r>
          </w:p>
          <w:p w:rsidR="004D6274" w:rsidRDefault="00585D9D">
            <w:pPr>
              <w:snapToGrid w:val="0"/>
              <w:spacing w:after="0" w:line="240" w:lineRule="auto"/>
              <w:rPr>
                <w:rFonts w:eastAsiaTheme="minorEastAsia"/>
                <w:lang w:val="en-GB"/>
              </w:rPr>
            </w:pPr>
            <w:r>
              <w:rPr>
                <w:rFonts w:eastAsiaTheme="minorEastAsia"/>
                <w:lang w:val="en-GB"/>
              </w:rPr>
              <w:t>5.</w:t>
            </w:r>
            <w:r>
              <w:rPr>
                <w:rFonts w:eastAsiaTheme="minorEastAsia"/>
                <w:lang w:val="en-GB"/>
              </w:rPr>
              <w:tab/>
              <w:t xml:space="preserve">Average spectral efficiency </w:t>
            </w:r>
          </w:p>
          <w:p w:rsidR="004D6274" w:rsidRDefault="00585D9D">
            <w:pPr>
              <w:snapToGrid w:val="0"/>
              <w:spacing w:after="0" w:line="240" w:lineRule="auto"/>
              <w:rPr>
                <w:rFonts w:eastAsiaTheme="minorEastAsia"/>
                <w:lang w:val="en-GB"/>
              </w:rPr>
            </w:pPr>
            <w:r>
              <w:rPr>
                <w:rFonts w:eastAsiaTheme="minorEastAsia"/>
                <w:lang w:val="en-GB"/>
              </w:rPr>
              <w:t>6.</w:t>
            </w:r>
            <w:r>
              <w:rPr>
                <w:rFonts w:eastAsiaTheme="minorEastAsia"/>
                <w:lang w:val="en-GB"/>
              </w:rPr>
              <w:tab/>
              <w:t>Sustainability/Energy efficiency</w:t>
            </w:r>
          </w:p>
          <w:p w:rsidR="004D6274" w:rsidRDefault="00585D9D">
            <w:pPr>
              <w:snapToGrid w:val="0"/>
              <w:spacing w:after="0" w:line="240" w:lineRule="auto"/>
              <w:rPr>
                <w:rFonts w:eastAsiaTheme="minorEastAsia"/>
                <w:lang w:val="en-GB"/>
              </w:rPr>
            </w:pPr>
            <w:r>
              <w:rPr>
                <w:rFonts w:eastAsiaTheme="minorEastAsia"/>
                <w:lang w:val="en-GB"/>
              </w:rPr>
              <w:t>7.</w:t>
            </w:r>
            <w:r>
              <w:rPr>
                <w:rFonts w:eastAsiaTheme="minorEastAsia"/>
                <w:lang w:val="en-GB"/>
              </w:rPr>
              <w:tab/>
              <w:t xml:space="preserve">Area traffic capacity  </w:t>
            </w:r>
          </w:p>
          <w:p w:rsidR="004D6274" w:rsidRDefault="00585D9D">
            <w:pPr>
              <w:snapToGrid w:val="0"/>
              <w:spacing w:after="0" w:line="240" w:lineRule="auto"/>
              <w:rPr>
                <w:rFonts w:eastAsiaTheme="minorEastAsia"/>
                <w:lang w:val="en-GB"/>
              </w:rPr>
            </w:pPr>
            <w:r>
              <w:rPr>
                <w:rFonts w:eastAsiaTheme="minorEastAsia"/>
                <w:lang w:val="en-GB"/>
              </w:rPr>
              <w:t>8.</w:t>
            </w:r>
            <w:r>
              <w:rPr>
                <w:rFonts w:eastAsiaTheme="minorEastAsia"/>
                <w:lang w:val="en-GB"/>
              </w:rPr>
              <w:tab/>
              <w:t>User plane latency</w:t>
            </w:r>
          </w:p>
          <w:p w:rsidR="004D6274" w:rsidRDefault="00585D9D">
            <w:pPr>
              <w:snapToGrid w:val="0"/>
              <w:spacing w:after="0" w:line="240" w:lineRule="auto"/>
              <w:rPr>
                <w:rFonts w:eastAsiaTheme="minorEastAsia"/>
                <w:lang w:val="en-GB"/>
              </w:rPr>
            </w:pPr>
            <w:r>
              <w:rPr>
                <w:rFonts w:eastAsiaTheme="minorEastAsia"/>
                <w:lang w:val="en-GB"/>
              </w:rPr>
              <w:t>9.</w:t>
            </w:r>
            <w:r>
              <w:rPr>
                <w:rFonts w:eastAsiaTheme="minorEastAsia"/>
                <w:lang w:val="en-GB"/>
              </w:rPr>
              <w:tab/>
              <w:t>Control plane latency</w:t>
            </w:r>
          </w:p>
          <w:p w:rsidR="004D6274" w:rsidRDefault="00585D9D">
            <w:pPr>
              <w:snapToGrid w:val="0"/>
              <w:spacing w:after="0" w:line="240" w:lineRule="auto"/>
              <w:rPr>
                <w:rFonts w:eastAsiaTheme="minorEastAsia"/>
                <w:lang w:val="en-GB"/>
              </w:rPr>
            </w:pPr>
            <w:r>
              <w:rPr>
                <w:rFonts w:eastAsiaTheme="minorEastAsia"/>
                <w:lang w:val="en-GB"/>
              </w:rPr>
              <w:t>10.</w:t>
            </w:r>
            <w:r>
              <w:rPr>
                <w:rFonts w:eastAsiaTheme="minorEastAsia"/>
                <w:lang w:val="en-GB"/>
              </w:rPr>
              <w:tab/>
              <w:t>Connection density</w:t>
            </w:r>
          </w:p>
          <w:p w:rsidR="004D6274" w:rsidRDefault="00585D9D">
            <w:pPr>
              <w:snapToGrid w:val="0"/>
              <w:spacing w:after="0" w:line="240" w:lineRule="auto"/>
              <w:rPr>
                <w:rFonts w:eastAsiaTheme="minorEastAsia"/>
                <w:lang w:val="en-GB"/>
              </w:rPr>
            </w:pPr>
            <w:r>
              <w:rPr>
                <w:rFonts w:eastAsiaTheme="minorEastAsia"/>
                <w:lang w:val="en-GB"/>
              </w:rPr>
              <w:t>11.</w:t>
            </w:r>
            <w:r>
              <w:rPr>
                <w:rFonts w:eastAsiaTheme="minorEastAsia"/>
                <w:lang w:val="en-GB"/>
              </w:rPr>
              <w:tab/>
              <w:t>Reliability</w:t>
            </w:r>
          </w:p>
          <w:p w:rsidR="004D6274" w:rsidRDefault="00585D9D">
            <w:pPr>
              <w:snapToGrid w:val="0"/>
              <w:spacing w:after="0" w:line="240" w:lineRule="auto"/>
              <w:rPr>
                <w:rFonts w:eastAsiaTheme="minorEastAsia"/>
                <w:lang w:val="en-GB"/>
              </w:rPr>
            </w:pPr>
            <w:r>
              <w:rPr>
                <w:rFonts w:eastAsiaTheme="minorEastAsia"/>
                <w:lang w:val="en-GB"/>
              </w:rPr>
              <w:t>12.</w:t>
            </w:r>
            <w:r>
              <w:rPr>
                <w:rFonts w:eastAsiaTheme="minorEastAsia"/>
                <w:lang w:val="en-GB"/>
              </w:rPr>
              <w:tab/>
              <w:t>Mobility</w:t>
            </w:r>
          </w:p>
          <w:p w:rsidR="004D6274" w:rsidRDefault="00585D9D">
            <w:pPr>
              <w:snapToGrid w:val="0"/>
              <w:spacing w:after="0" w:line="240" w:lineRule="auto"/>
              <w:rPr>
                <w:rFonts w:eastAsiaTheme="minorEastAsia"/>
                <w:lang w:val="en-GB"/>
              </w:rPr>
            </w:pPr>
            <w:r>
              <w:rPr>
                <w:rFonts w:eastAsiaTheme="minorEastAsia"/>
                <w:lang w:val="en-GB"/>
              </w:rPr>
              <w:t>13.</w:t>
            </w:r>
            <w:r>
              <w:rPr>
                <w:rFonts w:eastAsiaTheme="minorEastAsia"/>
                <w:lang w:val="en-GB"/>
              </w:rPr>
              <w:tab/>
              <w:t>Mobility interruption time</w:t>
            </w:r>
          </w:p>
          <w:p w:rsidR="004D6274" w:rsidRDefault="00585D9D">
            <w:pPr>
              <w:snapToGrid w:val="0"/>
              <w:spacing w:after="0" w:line="240" w:lineRule="auto"/>
              <w:rPr>
                <w:rFonts w:eastAsiaTheme="minorEastAsia"/>
                <w:lang w:val="en-GB"/>
              </w:rPr>
            </w:pPr>
            <w:r>
              <w:rPr>
                <w:rFonts w:eastAsiaTheme="minorEastAsia"/>
                <w:lang w:val="en-GB"/>
              </w:rPr>
              <w:t>14.</w:t>
            </w:r>
            <w:r>
              <w:rPr>
                <w:rFonts w:eastAsiaTheme="minorEastAsia"/>
                <w:lang w:val="en-GB"/>
              </w:rPr>
              <w:tab/>
              <w:t>Bandwidth</w:t>
            </w:r>
          </w:p>
        </w:tc>
      </w:tr>
    </w:tbl>
    <w:p w:rsidR="004D6274" w:rsidRDefault="00585D9D">
      <w:pPr>
        <w:snapToGrid w:val="0"/>
        <w:spacing w:beforeLines="50" w:before="120" w:after="120" w:line="240" w:lineRule="auto"/>
        <w:jc w:val="both"/>
        <w:rPr>
          <w:rFonts w:eastAsiaTheme="minorEastAsia"/>
        </w:rPr>
      </w:pPr>
      <w:r>
        <w:rPr>
          <w:rFonts w:eastAsiaTheme="minorEastAsia" w:hint="eastAsia"/>
        </w:rPr>
        <w:t>I</w:t>
      </w:r>
      <w:r>
        <w:rPr>
          <w:rFonts w:eastAsiaTheme="minorEastAsia"/>
        </w:rPr>
        <w:t>n ITU-R WP5D#48</w:t>
      </w:r>
      <w:r>
        <w:rPr>
          <w:rFonts w:eastAsiaTheme="minorEastAsia" w:hint="eastAsia"/>
        </w:rPr>
        <w:t xml:space="preserve"> in February 2025</w:t>
      </w:r>
      <w:r>
        <w:rPr>
          <w:rFonts w:eastAsiaTheme="minorEastAsia"/>
        </w:rPr>
        <w:t>, input documents including candidate TPR list provided by 3GPP RAN were discussed in SWG radio aspects. A preliminary list of Minimum Technical Performance Requirements (MTPRs) [4] was agreed and sent to SWG Evaluation from SWG radio aspects as shown below:</w:t>
      </w:r>
    </w:p>
    <w:p w:rsidR="004D6274" w:rsidRDefault="00585D9D">
      <w:pPr>
        <w:pStyle w:val="Tabletitle"/>
        <w:snapToGrid w:val="0"/>
      </w:pPr>
      <w:r>
        <w:t>Preliminary list of Minimum Technical Performance Requirements</w:t>
      </w:r>
    </w:p>
    <w:p w:rsidR="004D6274" w:rsidRDefault="00585D9D">
      <w:pPr>
        <w:pStyle w:val="Note"/>
        <w:snapToGrid w:val="0"/>
        <w:jc w:val="center"/>
        <w:rPr>
          <w:i/>
          <w:iCs/>
          <w:sz w:val="20"/>
          <w:szCs w:val="18"/>
        </w:rPr>
      </w:pPr>
      <w:r>
        <w:rPr>
          <w:i/>
          <w:iCs/>
          <w:sz w:val="20"/>
          <w:szCs w:val="18"/>
        </w:rPr>
        <w:t>(Note: Square brackets indicate further discussion required)</w:t>
      </w:r>
    </w:p>
    <w:tbl>
      <w:tblPr>
        <w:tblStyle w:val="af7"/>
        <w:tblW w:w="0" w:type="auto"/>
        <w:jc w:val="center"/>
        <w:tblLook w:val="04A0" w:firstRow="1" w:lastRow="0" w:firstColumn="1" w:lastColumn="0" w:noHBand="0" w:noVBand="1"/>
      </w:tblPr>
      <w:tblGrid>
        <w:gridCol w:w="4955"/>
        <w:gridCol w:w="1805"/>
      </w:tblGrid>
      <w:tr w:rsidR="004D6274">
        <w:trPr>
          <w:tblHeader/>
          <w:jc w:val="center"/>
        </w:trPr>
        <w:tc>
          <w:tcPr>
            <w:tcW w:w="4955" w:type="dxa"/>
          </w:tcPr>
          <w:p w:rsidR="004D6274" w:rsidRDefault="00585D9D">
            <w:pPr>
              <w:pStyle w:val="Tablehead"/>
              <w:snapToGrid w:val="0"/>
              <w:spacing w:before="0" w:after="0"/>
            </w:pPr>
            <w:r>
              <w:t>Minimum Technical Performance Requirement</w:t>
            </w:r>
          </w:p>
        </w:tc>
        <w:tc>
          <w:tcPr>
            <w:tcW w:w="1805" w:type="dxa"/>
          </w:tcPr>
          <w:p w:rsidR="004D6274" w:rsidRDefault="00585D9D">
            <w:pPr>
              <w:pStyle w:val="Tablehead"/>
              <w:snapToGrid w:val="0"/>
              <w:spacing w:before="0" w:after="0"/>
            </w:pPr>
            <w:r>
              <w:t>Method</w:t>
            </w:r>
          </w:p>
        </w:tc>
      </w:tr>
      <w:tr w:rsidR="004D6274">
        <w:trPr>
          <w:jc w:val="center"/>
        </w:trPr>
        <w:tc>
          <w:tcPr>
            <w:tcW w:w="4955" w:type="dxa"/>
          </w:tcPr>
          <w:p w:rsidR="004D6274" w:rsidRDefault="00585D9D">
            <w:pPr>
              <w:pStyle w:val="Tabletext"/>
              <w:snapToGrid w:val="0"/>
              <w:spacing w:before="0" w:after="0"/>
            </w:pPr>
            <w:r>
              <w:t>AI-related capabilities</w:t>
            </w:r>
          </w:p>
        </w:tc>
        <w:tc>
          <w:tcPr>
            <w:tcW w:w="1805" w:type="dxa"/>
          </w:tcPr>
          <w:p w:rsidR="004D6274" w:rsidRDefault="00585D9D">
            <w:pPr>
              <w:pStyle w:val="Tabletext"/>
              <w:snapToGrid w:val="0"/>
              <w:spacing w:before="0" w:after="0"/>
              <w:rPr>
                <w:i/>
                <w:iCs/>
              </w:rPr>
            </w:pPr>
            <w:r>
              <w:rPr>
                <w:i/>
                <w:iCs/>
              </w:rPr>
              <w:t>(to be determined)</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 xml:space="preserve">Area traffic capacity </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p w:rsidR="004D6274" w:rsidRDefault="00585D9D">
            <w:pPr>
              <w:pStyle w:val="Tabletext"/>
              <w:snapToGrid w:val="0"/>
              <w:spacing w:before="0" w:after="0"/>
              <w:rPr>
                <w:i/>
                <w:iCs/>
              </w:rPr>
            </w:pPr>
            <w:r>
              <w:t>(</w:t>
            </w:r>
            <w:r>
              <w:rPr>
                <w:i/>
                <w:iCs/>
              </w:rPr>
              <w:t>Note 1)</w:t>
            </w:r>
          </w:p>
        </w:tc>
      </w:tr>
      <w:tr w:rsidR="004D6274">
        <w:trPr>
          <w:jc w:val="center"/>
        </w:trPr>
        <w:tc>
          <w:tcPr>
            <w:tcW w:w="4955" w:type="dxa"/>
          </w:tcPr>
          <w:p w:rsidR="004D6274" w:rsidRDefault="00585D9D">
            <w:pPr>
              <w:pStyle w:val="Tabletext"/>
              <w:snapToGrid w:val="0"/>
              <w:spacing w:before="0" w:after="0"/>
            </w:pPr>
            <w:r>
              <w:t>Average Spectral efficiency</w:t>
            </w:r>
          </w:p>
        </w:tc>
        <w:tc>
          <w:tcPr>
            <w:tcW w:w="1805" w:type="dxa"/>
          </w:tcPr>
          <w:p w:rsidR="004D6274" w:rsidRDefault="00585D9D">
            <w:pPr>
              <w:pStyle w:val="Tabletext"/>
              <w:snapToGrid w:val="0"/>
              <w:spacing w:before="0" w:after="0"/>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Peak spectral efficiency</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t>5th percentile user Spectral efficiency</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Bandwidth</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Connection density</w:t>
            </w:r>
          </w:p>
        </w:tc>
        <w:tc>
          <w:tcPr>
            <w:tcW w:w="1805" w:type="dxa"/>
          </w:tcPr>
          <w:p w:rsidR="004D6274" w:rsidRDefault="00585D9D">
            <w:pPr>
              <w:pStyle w:val="Tabletext"/>
              <w:snapToGrid w:val="0"/>
              <w:spacing w:before="0" w:after="0"/>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pPr>
            <w:r>
              <w:t xml:space="preserve">Control plane latency </w:t>
            </w:r>
          </w:p>
        </w:tc>
        <w:tc>
          <w:tcPr>
            <w:tcW w:w="1805" w:type="dxa"/>
          </w:tcPr>
          <w:p w:rsidR="004D6274" w:rsidRDefault="00585D9D">
            <w:pPr>
              <w:pStyle w:val="Tabletext"/>
              <w:snapToGrid w:val="0"/>
              <w:spacing w:before="0" w:after="0"/>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 xml:space="preserve">User plane latency </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pPr>
            <w:r>
              <w:t xml:space="preserve">Energy Efficiency </w:t>
            </w:r>
          </w:p>
        </w:tc>
        <w:tc>
          <w:tcPr>
            <w:tcW w:w="1805" w:type="dxa"/>
          </w:tcPr>
          <w:p w:rsidR="004D6274" w:rsidRDefault="00585D9D">
            <w:pPr>
              <w:pStyle w:val="Tabletext"/>
              <w:snapToGrid w:val="0"/>
              <w:spacing w:before="0" w:after="0"/>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pPr>
            <w:r>
              <w:t>Mobility</w:t>
            </w:r>
          </w:p>
        </w:tc>
        <w:tc>
          <w:tcPr>
            <w:tcW w:w="1805" w:type="dxa"/>
          </w:tcPr>
          <w:p w:rsidR="004D6274" w:rsidRDefault="00585D9D">
            <w:pPr>
              <w:pStyle w:val="Tabletext"/>
              <w:snapToGrid w:val="0"/>
              <w:spacing w:before="0" w:after="0"/>
            </w:pPr>
            <w:r>
              <w:t xml:space="preserve"> </w:t>
            </w: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 xml:space="preserve">Mobility interruption time </w:t>
            </w:r>
          </w:p>
        </w:tc>
        <w:tc>
          <w:tcPr>
            <w:tcW w:w="1805" w:type="dxa"/>
          </w:tcPr>
          <w:p w:rsidR="004D6274" w:rsidRDefault="00585D9D">
            <w:pPr>
              <w:pStyle w:val="Tabletext"/>
              <w:snapToGrid w:val="0"/>
              <w:spacing w:before="0" w:after="0"/>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Peak data rate</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lastRenderedPageBreak/>
              <w:t>User Experienced Data Rate</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Sensing-related capabilities</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Positioning</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tc>
      </w:tr>
      <w:tr w:rsidR="004D6274">
        <w:trPr>
          <w:jc w:val="center"/>
        </w:trPr>
        <w:tc>
          <w:tcPr>
            <w:tcW w:w="4955" w:type="dxa"/>
          </w:tcPr>
          <w:p w:rsidR="004D6274" w:rsidRDefault="00585D9D">
            <w:pPr>
              <w:pStyle w:val="Tabletext"/>
              <w:snapToGrid w:val="0"/>
              <w:spacing w:before="0" w:after="0"/>
              <w:rPr>
                <w:rFonts w:eastAsia="Gulim"/>
                <w:szCs w:val="24"/>
              </w:rPr>
            </w:pPr>
            <w:r>
              <w:rPr>
                <w:rFonts w:eastAsia="Gulim"/>
                <w:szCs w:val="24"/>
              </w:rPr>
              <w:t>Reliability</w:t>
            </w:r>
          </w:p>
        </w:tc>
        <w:tc>
          <w:tcPr>
            <w:tcW w:w="1805" w:type="dxa"/>
          </w:tcPr>
          <w:p w:rsidR="004D6274" w:rsidRDefault="00585D9D">
            <w:pPr>
              <w:pStyle w:val="Tabletext"/>
              <w:snapToGrid w:val="0"/>
              <w:spacing w:before="0" w:after="0"/>
              <w:rPr>
                <w:rFonts w:eastAsia="Gulim"/>
                <w:szCs w:val="24"/>
              </w:rPr>
            </w:pPr>
            <w:r>
              <w:rPr>
                <w:rFonts w:eastAsia="Gulim"/>
                <w:szCs w:val="24"/>
              </w:rPr>
              <w:t>(Quantitative)</w:t>
            </w:r>
          </w:p>
          <w:p w:rsidR="004D6274" w:rsidRDefault="00585D9D">
            <w:pPr>
              <w:pStyle w:val="Tabletext"/>
              <w:snapToGrid w:val="0"/>
              <w:spacing w:before="0" w:after="0"/>
              <w:rPr>
                <w:rFonts w:eastAsia="Gulim"/>
                <w:i/>
                <w:iCs/>
                <w:szCs w:val="24"/>
              </w:rPr>
            </w:pPr>
            <w:r>
              <w:rPr>
                <w:rFonts w:eastAsia="Gulim"/>
                <w:i/>
                <w:iCs/>
                <w:szCs w:val="24"/>
              </w:rPr>
              <w:t>(Note 2)</w:t>
            </w:r>
          </w:p>
        </w:tc>
      </w:tr>
      <w:tr w:rsidR="004D6274">
        <w:trPr>
          <w:trHeight w:val="207"/>
          <w:jc w:val="center"/>
        </w:trPr>
        <w:tc>
          <w:tcPr>
            <w:tcW w:w="4955" w:type="dxa"/>
          </w:tcPr>
          <w:p w:rsidR="004D6274" w:rsidRDefault="00585D9D">
            <w:pPr>
              <w:pStyle w:val="Tabletext"/>
              <w:snapToGrid w:val="0"/>
              <w:spacing w:before="0" w:after="0"/>
              <w:rPr>
                <w:rFonts w:eastAsia="Gulim"/>
              </w:rPr>
            </w:pPr>
            <w:r>
              <w:rPr>
                <w:rFonts w:eastAsia="Gulim"/>
                <w:szCs w:val="24"/>
              </w:rPr>
              <w:t>[Joint requirement on data rate, latency</w:t>
            </w:r>
            <w:r>
              <w:rPr>
                <w:rFonts w:eastAsia="Gulim"/>
              </w:rPr>
              <w:t>, reliability and capacity]</w:t>
            </w:r>
          </w:p>
        </w:tc>
        <w:tc>
          <w:tcPr>
            <w:tcW w:w="1805" w:type="dxa"/>
          </w:tcPr>
          <w:p w:rsidR="004D6274" w:rsidRDefault="00585D9D">
            <w:pPr>
              <w:pStyle w:val="Tabletext"/>
              <w:snapToGrid w:val="0"/>
              <w:spacing w:before="0" w:after="0"/>
              <w:rPr>
                <w:rFonts w:eastAsia="Gulim"/>
                <w:i/>
                <w:iCs/>
              </w:rPr>
            </w:pPr>
            <w:r>
              <w:rPr>
                <w:rFonts w:eastAsia="Gulim"/>
                <w:i/>
                <w:iCs/>
              </w:rPr>
              <w:t>To be determined</w:t>
            </w:r>
          </w:p>
        </w:tc>
      </w:tr>
      <w:tr w:rsidR="004D6274">
        <w:trPr>
          <w:trHeight w:val="203"/>
          <w:jc w:val="center"/>
        </w:trPr>
        <w:tc>
          <w:tcPr>
            <w:tcW w:w="4955" w:type="dxa"/>
          </w:tcPr>
          <w:p w:rsidR="004D6274" w:rsidRDefault="00585D9D">
            <w:pPr>
              <w:pStyle w:val="Tabletext"/>
              <w:snapToGrid w:val="0"/>
              <w:spacing w:before="0" w:after="0"/>
            </w:pPr>
            <w:r>
              <w:rPr>
                <w:rFonts w:eastAsia="Gulim"/>
              </w:rPr>
              <w:t>[</w:t>
            </w:r>
            <w:r>
              <w:rPr>
                <w:rFonts w:eastAsia="Gulim"/>
                <w:szCs w:val="24"/>
              </w:rPr>
              <w:t>Coverage</w:t>
            </w:r>
            <w:r>
              <w:rPr>
                <w:rFonts w:eastAsia="Gulim"/>
              </w:rPr>
              <w:t>]</w:t>
            </w:r>
          </w:p>
        </w:tc>
        <w:tc>
          <w:tcPr>
            <w:tcW w:w="1805" w:type="dxa"/>
          </w:tcPr>
          <w:p w:rsidR="004D6274" w:rsidRDefault="00585D9D">
            <w:pPr>
              <w:pStyle w:val="Tabletext"/>
              <w:snapToGrid w:val="0"/>
              <w:spacing w:before="0" w:after="0"/>
              <w:rPr>
                <w:rFonts w:eastAsia="Gulim"/>
                <w:i/>
                <w:iCs/>
                <w:szCs w:val="24"/>
              </w:rPr>
            </w:pPr>
            <w:r>
              <w:rPr>
                <w:rFonts w:eastAsia="Gulim"/>
                <w:i/>
                <w:iCs/>
              </w:rPr>
              <w:t>To be determined</w:t>
            </w:r>
          </w:p>
        </w:tc>
      </w:tr>
      <w:tr w:rsidR="004D6274">
        <w:trPr>
          <w:trHeight w:val="203"/>
          <w:jc w:val="center"/>
        </w:trPr>
        <w:tc>
          <w:tcPr>
            <w:tcW w:w="4955" w:type="dxa"/>
          </w:tcPr>
          <w:p w:rsidR="004D6274" w:rsidRDefault="00585D9D">
            <w:pPr>
              <w:pStyle w:val="Tabletext"/>
              <w:snapToGrid w:val="0"/>
              <w:spacing w:before="0" w:after="0"/>
            </w:pPr>
            <w:r>
              <w:t>[Security]</w:t>
            </w:r>
          </w:p>
        </w:tc>
        <w:tc>
          <w:tcPr>
            <w:tcW w:w="1805" w:type="dxa"/>
          </w:tcPr>
          <w:p w:rsidR="004D6274" w:rsidRDefault="00585D9D">
            <w:pPr>
              <w:pStyle w:val="Tabletext"/>
              <w:snapToGrid w:val="0"/>
              <w:spacing w:before="0" w:after="0"/>
              <w:rPr>
                <w:rFonts w:eastAsia="Gulim"/>
                <w:i/>
                <w:iCs/>
                <w:szCs w:val="24"/>
              </w:rPr>
            </w:pPr>
            <w:r>
              <w:rPr>
                <w:rFonts w:eastAsia="Gulim"/>
                <w:i/>
                <w:iCs/>
              </w:rPr>
              <w:t>To be determined</w:t>
            </w:r>
          </w:p>
        </w:tc>
      </w:tr>
      <w:tr w:rsidR="004D6274">
        <w:trPr>
          <w:trHeight w:val="203"/>
          <w:jc w:val="center"/>
        </w:trPr>
        <w:tc>
          <w:tcPr>
            <w:tcW w:w="4955" w:type="dxa"/>
          </w:tcPr>
          <w:p w:rsidR="004D6274" w:rsidRDefault="00585D9D">
            <w:pPr>
              <w:pStyle w:val="Tabletext"/>
              <w:snapToGrid w:val="0"/>
              <w:spacing w:before="0" w:after="0"/>
              <w:rPr>
                <w:rFonts w:eastAsia="Gulim"/>
                <w:szCs w:val="24"/>
              </w:rPr>
            </w:pPr>
            <w:r>
              <w:t>[Resilience]</w:t>
            </w:r>
          </w:p>
        </w:tc>
        <w:tc>
          <w:tcPr>
            <w:tcW w:w="1805" w:type="dxa"/>
          </w:tcPr>
          <w:p w:rsidR="004D6274" w:rsidRDefault="00585D9D">
            <w:pPr>
              <w:pStyle w:val="Tabletext"/>
              <w:snapToGrid w:val="0"/>
              <w:spacing w:before="0" w:after="0"/>
              <w:rPr>
                <w:rFonts w:eastAsia="Gulim"/>
                <w:i/>
                <w:iCs/>
                <w:szCs w:val="24"/>
              </w:rPr>
            </w:pPr>
            <w:r>
              <w:rPr>
                <w:rFonts w:eastAsia="Gulim"/>
                <w:i/>
                <w:iCs/>
              </w:rPr>
              <w:t>To be determined</w:t>
            </w:r>
          </w:p>
        </w:tc>
      </w:tr>
      <w:tr w:rsidR="004D6274">
        <w:trPr>
          <w:trHeight w:val="203"/>
          <w:jc w:val="center"/>
        </w:trPr>
        <w:tc>
          <w:tcPr>
            <w:tcW w:w="4955" w:type="dxa"/>
          </w:tcPr>
          <w:p w:rsidR="004D6274" w:rsidRDefault="00585D9D">
            <w:pPr>
              <w:pStyle w:val="Tabletext"/>
              <w:snapToGrid w:val="0"/>
              <w:spacing w:before="0" w:after="0"/>
              <w:rPr>
                <w:rFonts w:eastAsia="Gulim"/>
                <w:szCs w:val="24"/>
              </w:rPr>
            </w:pPr>
            <w:r>
              <w:t>[Sustainability]</w:t>
            </w:r>
          </w:p>
        </w:tc>
        <w:tc>
          <w:tcPr>
            <w:tcW w:w="1805" w:type="dxa"/>
          </w:tcPr>
          <w:p w:rsidR="004D6274" w:rsidRDefault="00585D9D">
            <w:pPr>
              <w:pStyle w:val="Tabletext"/>
              <w:snapToGrid w:val="0"/>
              <w:spacing w:before="0" w:after="0"/>
              <w:rPr>
                <w:rFonts w:eastAsia="Gulim"/>
                <w:i/>
                <w:iCs/>
                <w:szCs w:val="24"/>
              </w:rPr>
            </w:pPr>
            <w:r>
              <w:rPr>
                <w:rFonts w:eastAsia="Gulim"/>
                <w:i/>
                <w:iCs/>
              </w:rPr>
              <w:t>To be determined</w:t>
            </w:r>
          </w:p>
        </w:tc>
      </w:tr>
      <w:tr w:rsidR="004D6274">
        <w:trPr>
          <w:trHeight w:val="203"/>
          <w:jc w:val="center"/>
        </w:trPr>
        <w:tc>
          <w:tcPr>
            <w:tcW w:w="4955" w:type="dxa"/>
          </w:tcPr>
          <w:p w:rsidR="004D6274" w:rsidRDefault="00585D9D">
            <w:pPr>
              <w:pStyle w:val="Tabletext"/>
              <w:snapToGrid w:val="0"/>
              <w:spacing w:before="0" w:after="0"/>
            </w:pPr>
            <w:r>
              <w:t>[Interoperability]</w:t>
            </w:r>
          </w:p>
        </w:tc>
        <w:tc>
          <w:tcPr>
            <w:tcW w:w="1805" w:type="dxa"/>
          </w:tcPr>
          <w:p w:rsidR="004D6274" w:rsidRDefault="00585D9D">
            <w:pPr>
              <w:pStyle w:val="Tabletext"/>
              <w:snapToGrid w:val="0"/>
              <w:spacing w:before="0" w:after="0"/>
              <w:rPr>
                <w:rFonts w:eastAsia="Gulim"/>
                <w:i/>
                <w:iCs/>
                <w:szCs w:val="24"/>
              </w:rPr>
            </w:pPr>
            <w:r>
              <w:rPr>
                <w:rFonts w:eastAsia="Gulim"/>
                <w:i/>
                <w:iCs/>
              </w:rPr>
              <w:t>To be determined</w:t>
            </w:r>
          </w:p>
        </w:tc>
      </w:tr>
    </w:tbl>
    <w:p w:rsidR="004D6274" w:rsidRDefault="00585D9D">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rsidR="004D6274" w:rsidRDefault="00585D9D">
      <w:pPr>
        <w:pStyle w:val="Note"/>
        <w:snapToGrid w:val="0"/>
        <w:rPr>
          <w:rFonts w:eastAsia="Tahoma"/>
          <w:i/>
          <w:iCs/>
          <w:sz w:val="20"/>
        </w:rPr>
      </w:pPr>
      <w:r>
        <w:rPr>
          <w:rFonts w:eastAsia="Tahoma"/>
          <w:i/>
          <w:iCs/>
          <w:sz w:val="20"/>
        </w:rPr>
        <w:t>Note 2: The reliability requirement may be replaced by the “Joint Requirement” (if agreed).</w:t>
      </w:r>
    </w:p>
    <w:p w:rsidR="004D6274" w:rsidRDefault="004D6274">
      <w:pPr>
        <w:snapToGrid w:val="0"/>
        <w:spacing w:beforeLines="50" w:before="120" w:after="120" w:line="240" w:lineRule="auto"/>
        <w:rPr>
          <w:rFonts w:eastAsiaTheme="minorEastAsia"/>
          <w:lang w:val="en-GB"/>
        </w:rPr>
      </w:pPr>
    </w:p>
    <w:p w:rsidR="004D6274" w:rsidRDefault="00585D9D">
      <w:pPr>
        <w:snapToGrid w:val="0"/>
        <w:spacing w:beforeLines="50" w:before="120" w:after="120" w:line="240" w:lineRule="auto"/>
        <w:rPr>
          <w:rFonts w:eastAsiaTheme="minorEastAsia"/>
          <w:lang w:val="en-GB"/>
        </w:rPr>
      </w:pPr>
      <w:r>
        <w:rPr>
          <w:rFonts w:eastAsiaTheme="minorEastAsia"/>
          <w:lang w:val="en-GB"/>
        </w:rPr>
        <w:t>On top of the above agreed preliminary list from RAN plenary and ITU-R WP5D, we support the following proposal (detailed analysis can be found in subsections under section 2.1):</w:t>
      </w:r>
    </w:p>
    <w:p w:rsidR="004D6274" w:rsidRDefault="004D6274">
      <w:pPr>
        <w:snapToGrid w:val="0"/>
        <w:spacing w:beforeLines="50" w:before="120" w:after="120" w:line="240" w:lineRule="auto"/>
        <w:rPr>
          <w:rFonts w:eastAsiaTheme="minorEastAsia"/>
          <w:lang w:val="en-GB"/>
        </w:rPr>
      </w:pPr>
    </w:p>
    <w:p w:rsidR="004D6274" w:rsidRDefault="00585D9D">
      <w:pPr>
        <w:snapToGrid w:val="0"/>
        <w:spacing w:beforeLines="50" w:before="120" w:after="120" w:line="240" w:lineRule="auto"/>
        <w:rPr>
          <w:rFonts w:eastAsiaTheme="minorEastAsia"/>
          <w:b/>
          <w:lang w:val="en-GB"/>
        </w:rPr>
      </w:pPr>
      <w:r>
        <w:rPr>
          <w:rFonts w:eastAsiaTheme="minorEastAsia" w:hint="eastAsia"/>
          <w:b/>
          <w:lang w:val="en-GB"/>
        </w:rPr>
        <w:t>P</w:t>
      </w:r>
      <w:r>
        <w:rPr>
          <w:rFonts w:eastAsiaTheme="minorEastAsia"/>
          <w:b/>
          <w:lang w:val="en-GB"/>
        </w:rPr>
        <w:t>roposal 1: Support the following candidate TPRs for IMT-2030</w:t>
      </w:r>
    </w:p>
    <w:tbl>
      <w:tblPr>
        <w:tblStyle w:val="af7"/>
        <w:tblW w:w="0" w:type="auto"/>
        <w:jc w:val="center"/>
        <w:tblLook w:val="04A0" w:firstRow="1" w:lastRow="0" w:firstColumn="1" w:lastColumn="0" w:noHBand="0" w:noVBand="1"/>
      </w:tblPr>
      <w:tblGrid>
        <w:gridCol w:w="6204"/>
      </w:tblGrid>
      <w:tr w:rsidR="004D6274">
        <w:trPr>
          <w:jc w:val="center"/>
        </w:trPr>
        <w:tc>
          <w:tcPr>
            <w:tcW w:w="6204" w:type="dxa"/>
          </w:tcPr>
          <w:p w:rsidR="004D6274" w:rsidRDefault="00585D9D">
            <w:pPr>
              <w:snapToGrid w:val="0"/>
              <w:spacing w:after="0" w:line="240" w:lineRule="auto"/>
              <w:rPr>
                <w:rFonts w:eastAsiaTheme="minorEastAsia"/>
                <w:lang w:val="en-GB"/>
              </w:rPr>
            </w:pPr>
            <w:r>
              <w:rPr>
                <w:rFonts w:eastAsiaTheme="minorEastAsia"/>
                <w:lang w:val="en-GB"/>
              </w:rPr>
              <w:t>1.</w:t>
            </w:r>
            <w:r>
              <w:rPr>
                <w:rFonts w:eastAsiaTheme="minorEastAsia"/>
                <w:lang w:val="en-GB"/>
              </w:rPr>
              <w:tab/>
              <w:t>Peak data rate</w:t>
            </w:r>
          </w:p>
          <w:p w:rsidR="004D6274" w:rsidRDefault="00585D9D">
            <w:pPr>
              <w:snapToGrid w:val="0"/>
              <w:spacing w:after="0" w:line="240" w:lineRule="auto"/>
              <w:rPr>
                <w:rFonts w:eastAsiaTheme="minorEastAsia"/>
                <w:lang w:val="en-GB"/>
              </w:rPr>
            </w:pPr>
            <w:r>
              <w:rPr>
                <w:rFonts w:eastAsiaTheme="minorEastAsia"/>
                <w:lang w:val="en-GB"/>
              </w:rPr>
              <w:t>2.</w:t>
            </w:r>
            <w:r>
              <w:rPr>
                <w:rFonts w:eastAsiaTheme="minorEastAsia"/>
                <w:lang w:val="en-GB"/>
              </w:rPr>
              <w:tab/>
              <w:t xml:space="preserve">Peak spectral efficiency </w:t>
            </w:r>
          </w:p>
          <w:p w:rsidR="004D6274" w:rsidRDefault="00585D9D">
            <w:pPr>
              <w:snapToGrid w:val="0"/>
              <w:spacing w:after="0" w:line="240" w:lineRule="auto"/>
              <w:rPr>
                <w:rFonts w:eastAsiaTheme="minorEastAsia"/>
                <w:lang w:val="en-GB"/>
              </w:rPr>
            </w:pPr>
            <w:r>
              <w:rPr>
                <w:rFonts w:eastAsiaTheme="minorEastAsia"/>
                <w:lang w:val="en-GB"/>
              </w:rPr>
              <w:t>3.</w:t>
            </w:r>
            <w:r>
              <w:rPr>
                <w:rFonts w:eastAsiaTheme="minorEastAsia"/>
                <w:lang w:val="en-GB"/>
              </w:rPr>
              <w:tab/>
              <w:t xml:space="preserve">User experienced data rate </w:t>
            </w:r>
          </w:p>
          <w:p w:rsidR="004D6274" w:rsidRDefault="00585D9D">
            <w:pPr>
              <w:snapToGrid w:val="0"/>
              <w:spacing w:after="0" w:line="240" w:lineRule="auto"/>
              <w:rPr>
                <w:rFonts w:eastAsiaTheme="minorEastAsia"/>
                <w:lang w:val="en-GB"/>
              </w:rPr>
            </w:pPr>
            <w:r>
              <w:rPr>
                <w:rFonts w:eastAsiaTheme="minorEastAsia"/>
                <w:lang w:val="en-GB"/>
              </w:rPr>
              <w:t>4.</w:t>
            </w:r>
            <w:r>
              <w:rPr>
                <w:rFonts w:eastAsiaTheme="minorEastAsia"/>
                <w:lang w:val="en-GB"/>
              </w:rPr>
              <w:tab/>
              <w:t xml:space="preserve">5th percentile user spectral efficiency </w:t>
            </w:r>
          </w:p>
          <w:p w:rsidR="004D6274" w:rsidRDefault="00585D9D">
            <w:pPr>
              <w:snapToGrid w:val="0"/>
              <w:spacing w:after="0" w:line="240" w:lineRule="auto"/>
              <w:rPr>
                <w:rFonts w:eastAsiaTheme="minorEastAsia"/>
                <w:lang w:val="en-GB"/>
              </w:rPr>
            </w:pPr>
            <w:r>
              <w:rPr>
                <w:rFonts w:eastAsiaTheme="minorEastAsia"/>
                <w:lang w:val="en-GB"/>
              </w:rPr>
              <w:t>5.</w:t>
            </w:r>
            <w:r>
              <w:rPr>
                <w:rFonts w:eastAsiaTheme="minorEastAsia"/>
                <w:lang w:val="en-GB"/>
              </w:rPr>
              <w:tab/>
              <w:t xml:space="preserve">Average spectral efficiency </w:t>
            </w:r>
          </w:p>
          <w:p w:rsidR="004D6274" w:rsidRDefault="00585D9D">
            <w:pPr>
              <w:snapToGrid w:val="0"/>
              <w:spacing w:after="0" w:line="240" w:lineRule="auto"/>
              <w:rPr>
                <w:rFonts w:eastAsiaTheme="minorEastAsia"/>
                <w:lang w:val="en-GB"/>
              </w:rPr>
            </w:pPr>
            <w:r>
              <w:rPr>
                <w:rFonts w:eastAsiaTheme="minorEastAsia"/>
                <w:lang w:val="en-GB"/>
              </w:rPr>
              <w:t>6.</w:t>
            </w:r>
            <w:r>
              <w:rPr>
                <w:rFonts w:eastAsiaTheme="minorEastAsia"/>
                <w:lang w:val="en-GB"/>
              </w:rPr>
              <w:tab/>
            </w:r>
            <w:r>
              <w:rPr>
                <w:rFonts w:eastAsiaTheme="minorEastAsia"/>
                <w:strike/>
                <w:color w:val="4472C4" w:themeColor="accent5"/>
                <w:lang w:val="en-GB"/>
              </w:rPr>
              <w:t>Sustainability/</w:t>
            </w:r>
            <w:r>
              <w:rPr>
                <w:rFonts w:eastAsiaTheme="minorEastAsia"/>
                <w:lang w:val="en-GB"/>
              </w:rPr>
              <w:t>Energy efficiency</w:t>
            </w:r>
          </w:p>
          <w:p w:rsidR="004D6274" w:rsidRDefault="00585D9D">
            <w:pPr>
              <w:snapToGrid w:val="0"/>
              <w:spacing w:after="0" w:line="240" w:lineRule="auto"/>
              <w:rPr>
                <w:rFonts w:eastAsiaTheme="minorEastAsia"/>
                <w:lang w:val="en-GB"/>
              </w:rPr>
            </w:pPr>
            <w:r>
              <w:rPr>
                <w:rFonts w:eastAsiaTheme="minorEastAsia"/>
                <w:lang w:val="en-GB"/>
              </w:rPr>
              <w:t>7.</w:t>
            </w:r>
            <w:r>
              <w:rPr>
                <w:rFonts w:eastAsiaTheme="minorEastAsia"/>
                <w:lang w:val="en-GB"/>
              </w:rPr>
              <w:tab/>
              <w:t xml:space="preserve">Area traffic capacity  </w:t>
            </w:r>
          </w:p>
          <w:p w:rsidR="004D6274" w:rsidRDefault="00585D9D">
            <w:pPr>
              <w:snapToGrid w:val="0"/>
              <w:spacing w:after="0" w:line="240" w:lineRule="auto"/>
              <w:rPr>
                <w:rFonts w:eastAsiaTheme="minorEastAsia"/>
                <w:lang w:val="en-GB"/>
              </w:rPr>
            </w:pPr>
            <w:r>
              <w:rPr>
                <w:rFonts w:eastAsiaTheme="minorEastAsia"/>
                <w:lang w:val="en-GB"/>
              </w:rPr>
              <w:t>8.</w:t>
            </w:r>
            <w:r>
              <w:rPr>
                <w:rFonts w:eastAsiaTheme="minorEastAsia"/>
                <w:lang w:val="en-GB"/>
              </w:rPr>
              <w:tab/>
              <w:t>User plane latency</w:t>
            </w:r>
          </w:p>
          <w:p w:rsidR="004D6274" w:rsidRDefault="00585D9D">
            <w:pPr>
              <w:snapToGrid w:val="0"/>
              <w:spacing w:after="0" w:line="240" w:lineRule="auto"/>
              <w:rPr>
                <w:rFonts w:eastAsiaTheme="minorEastAsia"/>
                <w:lang w:val="en-GB"/>
              </w:rPr>
            </w:pPr>
            <w:r>
              <w:rPr>
                <w:rFonts w:eastAsiaTheme="minorEastAsia"/>
                <w:lang w:val="en-GB"/>
              </w:rPr>
              <w:t>9.</w:t>
            </w:r>
            <w:r>
              <w:rPr>
                <w:rFonts w:eastAsiaTheme="minorEastAsia"/>
                <w:lang w:val="en-GB"/>
              </w:rPr>
              <w:tab/>
              <w:t>Control plane latency</w:t>
            </w:r>
          </w:p>
          <w:p w:rsidR="004D6274" w:rsidRDefault="00585D9D">
            <w:pPr>
              <w:snapToGrid w:val="0"/>
              <w:spacing w:after="0" w:line="240" w:lineRule="auto"/>
              <w:rPr>
                <w:rFonts w:eastAsiaTheme="minorEastAsia"/>
                <w:lang w:val="en-GB"/>
              </w:rPr>
            </w:pPr>
            <w:r>
              <w:rPr>
                <w:rFonts w:eastAsiaTheme="minorEastAsia"/>
                <w:lang w:val="en-GB"/>
              </w:rPr>
              <w:t>10.</w:t>
            </w:r>
            <w:r>
              <w:rPr>
                <w:rFonts w:eastAsiaTheme="minorEastAsia"/>
                <w:lang w:val="en-GB"/>
              </w:rPr>
              <w:tab/>
              <w:t>Connection density</w:t>
            </w:r>
          </w:p>
          <w:p w:rsidR="004D6274" w:rsidRDefault="00585D9D">
            <w:pPr>
              <w:snapToGrid w:val="0"/>
              <w:spacing w:after="0" w:line="240" w:lineRule="auto"/>
              <w:rPr>
                <w:rFonts w:eastAsiaTheme="minorEastAsia"/>
                <w:lang w:val="en-GB"/>
              </w:rPr>
            </w:pPr>
            <w:r>
              <w:rPr>
                <w:rFonts w:eastAsiaTheme="minorEastAsia"/>
                <w:lang w:val="en-GB"/>
              </w:rPr>
              <w:t>11.</w:t>
            </w:r>
            <w:r>
              <w:rPr>
                <w:rFonts w:eastAsiaTheme="minorEastAsia"/>
                <w:color w:val="4472C4" w:themeColor="accent5"/>
                <w:lang w:val="en-GB"/>
              </w:rPr>
              <w:tab/>
              <w:t>[</w:t>
            </w:r>
            <w:r>
              <w:rPr>
                <w:rFonts w:eastAsiaTheme="minorEastAsia"/>
                <w:lang w:val="en-GB"/>
              </w:rPr>
              <w:t>Reliability</w:t>
            </w:r>
            <w:r>
              <w:rPr>
                <w:rFonts w:eastAsiaTheme="minorEastAsia"/>
                <w:color w:val="4472C4" w:themeColor="accent5"/>
                <w:lang w:val="en-GB"/>
              </w:rPr>
              <w:t>]</w:t>
            </w:r>
          </w:p>
          <w:p w:rsidR="004D6274" w:rsidRDefault="00585D9D">
            <w:pPr>
              <w:snapToGrid w:val="0"/>
              <w:spacing w:after="0" w:line="240" w:lineRule="auto"/>
              <w:rPr>
                <w:rFonts w:eastAsiaTheme="minorEastAsia"/>
                <w:lang w:val="en-GB"/>
              </w:rPr>
            </w:pPr>
            <w:r>
              <w:rPr>
                <w:rFonts w:eastAsiaTheme="minorEastAsia"/>
                <w:lang w:val="en-GB"/>
              </w:rPr>
              <w:t>12.</w:t>
            </w:r>
            <w:r>
              <w:rPr>
                <w:rFonts w:eastAsiaTheme="minorEastAsia"/>
                <w:lang w:val="en-GB"/>
              </w:rPr>
              <w:tab/>
              <w:t>Mobility</w:t>
            </w:r>
          </w:p>
          <w:p w:rsidR="004D6274" w:rsidRDefault="00585D9D">
            <w:pPr>
              <w:snapToGrid w:val="0"/>
              <w:spacing w:after="0" w:line="240" w:lineRule="auto"/>
              <w:rPr>
                <w:rFonts w:eastAsiaTheme="minorEastAsia"/>
                <w:lang w:val="en-GB"/>
              </w:rPr>
            </w:pPr>
            <w:r>
              <w:rPr>
                <w:rFonts w:eastAsiaTheme="minorEastAsia"/>
                <w:lang w:val="en-GB"/>
              </w:rPr>
              <w:t>13.</w:t>
            </w:r>
            <w:r>
              <w:rPr>
                <w:rFonts w:eastAsiaTheme="minorEastAsia"/>
                <w:lang w:val="en-GB"/>
              </w:rPr>
              <w:tab/>
              <w:t>Mobility interruption time</w:t>
            </w:r>
          </w:p>
          <w:p w:rsidR="004D6274" w:rsidRDefault="00585D9D">
            <w:pPr>
              <w:snapToGrid w:val="0"/>
              <w:spacing w:after="0" w:line="240" w:lineRule="auto"/>
              <w:rPr>
                <w:rFonts w:eastAsiaTheme="minorEastAsia"/>
                <w:lang w:val="en-GB"/>
              </w:rPr>
            </w:pPr>
            <w:r>
              <w:rPr>
                <w:rFonts w:eastAsiaTheme="minorEastAsia"/>
                <w:lang w:val="en-GB"/>
              </w:rPr>
              <w:t>14.</w:t>
            </w:r>
            <w:r>
              <w:rPr>
                <w:rFonts w:eastAsiaTheme="minorEastAsia"/>
                <w:lang w:val="en-GB"/>
              </w:rPr>
              <w:tab/>
              <w:t>Bandwidth</w:t>
            </w:r>
          </w:p>
          <w:p w:rsidR="004D6274" w:rsidRDefault="00585D9D">
            <w:pPr>
              <w:snapToGrid w:val="0"/>
              <w:spacing w:after="0" w:line="240" w:lineRule="auto"/>
              <w:rPr>
                <w:rFonts w:eastAsiaTheme="minorEastAsia"/>
                <w:color w:val="4472C4" w:themeColor="accent5"/>
              </w:rPr>
            </w:pPr>
            <w:r>
              <w:rPr>
                <w:rFonts w:eastAsiaTheme="minorEastAsia" w:hint="eastAsia"/>
                <w:color w:val="4472C4" w:themeColor="accent5"/>
                <w:lang w:val="en-GB"/>
              </w:rPr>
              <w:t>1</w:t>
            </w:r>
            <w:r>
              <w:rPr>
                <w:rFonts w:eastAsiaTheme="minorEastAsia"/>
                <w:color w:val="4472C4" w:themeColor="accent5"/>
                <w:lang w:val="en-GB"/>
              </w:rPr>
              <w:t>5.  Composite requirement</w:t>
            </w:r>
            <w:r>
              <w:rPr>
                <w:rFonts w:eastAsiaTheme="minorEastAsia" w:hint="eastAsia"/>
                <w:color w:val="4472C4" w:themeColor="accent5"/>
              </w:rPr>
              <w:t>, i.e. joint requirement</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6.  AI-related capabilities</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7.  Sensing-related capabilities</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8.  Positioning</w:t>
            </w:r>
          </w:p>
        </w:tc>
      </w:tr>
    </w:tbl>
    <w:p w:rsidR="004D6274" w:rsidRDefault="004D6274">
      <w:pPr>
        <w:snapToGrid w:val="0"/>
        <w:spacing w:beforeLines="50" w:before="120" w:after="120" w:line="240" w:lineRule="auto"/>
        <w:rPr>
          <w:rFonts w:eastAsiaTheme="minorEastAsia"/>
        </w:rPr>
      </w:pPr>
    </w:p>
    <w:p w:rsidR="004D6274" w:rsidRDefault="00585D9D">
      <w:pPr>
        <w:snapToGrid w:val="0"/>
        <w:outlineLvl w:val="2"/>
        <w:rPr>
          <w:rFonts w:eastAsiaTheme="minorEastAsia"/>
          <w:b/>
          <w:sz w:val="21"/>
        </w:rPr>
      </w:pPr>
      <w:r>
        <w:rPr>
          <w:rFonts w:eastAsiaTheme="minorEastAsia" w:hint="eastAsia"/>
          <w:b/>
          <w:sz w:val="21"/>
        </w:rPr>
        <w:t>2</w:t>
      </w:r>
      <w:r>
        <w:rPr>
          <w:rFonts w:eastAsiaTheme="minorEastAsia"/>
          <w:b/>
          <w:sz w:val="21"/>
        </w:rPr>
        <w:t>.1.1 Composite requirement</w:t>
      </w:r>
    </w:p>
    <w:p w:rsidR="004D6274" w:rsidRDefault="00585D9D">
      <w:pPr>
        <w:snapToGrid w:val="0"/>
        <w:spacing w:beforeLines="50" w:before="120" w:after="120" w:line="240" w:lineRule="auto"/>
        <w:jc w:val="both"/>
        <w:rPr>
          <w:rFonts w:eastAsiaTheme="minorEastAsia"/>
          <w:lang w:val="en-GB"/>
        </w:rPr>
      </w:pPr>
      <w:r>
        <w:rPr>
          <w:rFonts w:eastAsiaTheme="minorEastAsia" w:hint="eastAsia"/>
          <w:b/>
          <w:lang w:val="en-GB"/>
        </w:rPr>
        <w:t>I</w:t>
      </w:r>
      <w:r>
        <w:rPr>
          <w:rFonts w:eastAsiaTheme="minorEastAsia"/>
          <w:b/>
          <w:lang w:val="en-GB"/>
        </w:rPr>
        <w:t>mmersive communication</w:t>
      </w:r>
      <w:r>
        <w:rPr>
          <w:rFonts w:eastAsiaTheme="minorEastAsia"/>
          <w:lang w:val="en-GB"/>
        </w:rPr>
        <w:t xml:space="preserve"> extends the eMBB of IMT-2020 and as elaborated in M.2160, certain immersive communication use cases require support of high reliability and low latency for responsive and accurate interaction with real and virtual objects, as well as </w:t>
      </w:r>
      <w:r>
        <w:rPr>
          <w:rFonts w:eastAsiaTheme="minorEastAsia"/>
          <w:lang w:val="en-GB"/>
        </w:rPr>
        <w:t xml:space="preserve">higher </w:t>
      </w:r>
      <w:r>
        <w:rPr>
          <w:rFonts w:eastAsiaTheme="minorEastAsia"/>
          <w:lang w:val="en-GB"/>
        </w:rPr>
        <w:t xml:space="preserve">system capacity for simultaneously connecting numerous devices. </w:t>
      </w:r>
    </w:p>
    <w:p w:rsidR="004D6274" w:rsidRDefault="00585D9D">
      <w:pPr>
        <w:snapToGrid w:val="0"/>
        <w:spacing w:beforeLines="50" w:before="120" w:after="120" w:line="240" w:lineRule="auto"/>
        <w:jc w:val="both"/>
        <w:rPr>
          <w:rFonts w:eastAsiaTheme="minorEastAsia"/>
          <w:lang w:val="en-GB"/>
        </w:rPr>
      </w:pPr>
      <w:r>
        <w:rPr>
          <w:rFonts w:eastAsiaTheme="minorEastAsia"/>
          <w:lang w:val="en-GB"/>
        </w:rPr>
        <w:t>For 6G immersive communications, a notable feature is multi-modal or mult</w:t>
      </w:r>
      <w:r w:rsidR="00132740">
        <w:rPr>
          <w:rFonts w:eastAsiaTheme="minorEastAsia"/>
          <w:lang w:val="en-GB"/>
        </w:rPr>
        <w:t>-</w:t>
      </w:r>
      <w:r>
        <w:rPr>
          <w:rFonts w:eastAsiaTheme="minorEastAsia"/>
          <w:lang w:val="en-GB"/>
        </w:rPr>
        <w:t xml:space="preserve">traffic transmission. The minimum technical requirements for 6G immersive communications should cater to the performance requirement of the most representative modality/traffic, along with their corresponding traffic characteristics. For example, the use cases of immersive live shows / AR enable immersive experience / Mobile metaverse for immersive gaming, they focus on providing a visual, auditory, tactile feast in a hot spot area. In this kind of scenarios, multiple streams are transmitted, </w:t>
      </w:r>
      <w:r>
        <w:rPr>
          <w:rFonts w:eastAsiaTheme="minorEastAsia"/>
          <w:lang w:val="en-GB"/>
        </w:rPr>
        <w:lastRenderedPageBreak/>
        <w:t xml:space="preserve">consisting of video streams, audio streams, haptic streams and so on. In multi-modality transmission, video traffic is the main data stream and major technical performance requirement lies on the sum throughput or overall spectral efficiency within the geographical area. For immersive live shows / AR enabled immersive experience, composite requirement on data rate, latency reliability and capacity should be considered for both UL and DL traffic </w:t>
      </w:r>
      <w:r w:rsidR="00132740">
        <w:rPr>
          <w:rFonts w:eastAsiaTheme="minorEastAsia"/>
          <w:lang w:val="en-GB"/>
        </w:rPr>
        <w:t xml:space="preserve">under </w:t>
      </w:r>
      <w:r w:rsidR="00132740">
        <w:rPr>
          <w:rFonts w:eastAsiaTheme="minorEastAsia"/>
          <w:lang w:val="en-GB"/>
        </w:rPr>
        <w:t xml:space="preserve"> </w:t>
      </w:r>
      <w:r>
        <w:rPr>
          <w:rFonts w:eastAsiaTheme="minorEastAsia"/>
          <w:lang w:val="en-GB"/>
        </w:rPr>
        <w:t>typical test environments.</w:t>
      </w:r>
    </w:p>
    <w:p w:rsidR="004D6274" w:rsidRDefault="00585D9D">
      <w:pPr>
        <w:snapToGrid w:val="0"/>
        <w:spacing w:beforeLines="50" w:before="120" w:after="120" w:line="240" w:lineRule="auto"/>
        <w:jc w:val="both"/>
        <w:rPr>
          <w:rFonts w:eastAsiaTheme="minorEastAsia"/>
          <w:lang w:val="en-GB"/>
        </w:rPr>
      </w:pPr>
      <w:r>
        <w:rPr>
          <w:rFonts w:eastAsiaTheme="minorEastAsia" w:hint="eastAsia"/>
          <w:lang w:val="en-GB"/>
        </w:rPr>
        <w:t>F</w:t>
      </w:r>
      <w:r>
        <w:rPr>
          <w:rFonts w:eastAsiaTheme="minorEastAsia"/>
          <w:lang w:val="en-GB"/>
        </w:rPr>
        <w:t>or eMBB in IMT</w:t>
      </w:r>
      <w:r w:rsidR="00132740">
        <w:rPr>
          <w:rFonts w:eastAsiaTheme="minorEastAsia"/>
          <w:lang w:val="en-GB"/>
        </w:rPr>
        <w:t>-</w:t>
      </w:r>
      <w:r>
        <w:rPr>
          <w:rFonts w:eastAsiaTheme="minorEastAsia"/>
          <w:lang w:val="en-GB"/>
        </w:rPr>
        <w:t>2020, area traffic capacity defined as the total traffic throughput served per geographic area (in Mbit/s/m</w:t>
      </w:r>
      <w:r>
        <w:rPr>
          <w:rFonts w:eastAsiaTheme="minorEastAsia"/>
          <w:vertAlign w:val="superscript"/>
          <w:lang w:val="en-GB"/>
        </w:rPr>
        <w:t>2</w:t>
      </w:r>
      <w:r>
        <w:rPr>
          <w:rFonts w:eastAsiaTheme="minorEastAsia"/>
          <w:lang w:val="en-GB"/>
        </w:rPr>
        <w:t>) is adopted for the purpose of evaluation in the related eMBB test environments. However, only full buffer traffic was considered for area traffic capacity</w:t>
      </w:r>
      <w:r>
        <w:rPr>
          <w:rFonts w:eastAsiaTheme="minorEastAsia" w:hint="eastAsia"/>
        </w:rPr>
        <w:t>,</w:t>
      </w:r>
      <w:r>
        <w:rPr>
          <w:rFonts w:eastAsiaTheme="minorEastAsia"/>
          <w:lang w:val="en-GB"/>
        </w:rPr>
        <w:t xml:space="preserve"> and target value</w:t>
      </w:r>
      <w:r>
        <w:rPr>
          <w:rFonts w:eastAsiaTheme="minorEastAsia" w:hint="eastAsia"/>
        </w:rPr>
        <w:t>s</w:t>
      </w:r>
      <w:r>
        <w:rPr>
          <w:rFonts w:eastAsiaTheme="minorEastAsia"/>
          <w:lang w:val="en-GB"/>
        </w:rPr>
        <w:t xml:space="preserve"> </w:t>
      </w:r>
      <w:r>
        <w:rPr>
          <w:rFonts w:eastAsiaTheme="minorEastAsia" w:hint="eastAsia"/>
        </w:rPr>
        <w:t>for</w:t>
      </w:r>
      <w:r>
        <w:rPr>
          <w:rFonts w:eastAsiaTheme="minorEastAsia"/>
          <w:lang w:val="en-GB"/>
        </w:rPr>
        <w:t xml:space="preserve"> limited T</w:t>
      </w:r>
      <w:r>
        <w:rPr>
          <w:rFonts w:eastAsiaTheme="minorEastAsia" w:hint="eastAsia"/>
        </w:rPr>
        <w:t>est environment</w:t>
      </w:r>
      <w:r>
        <w:rPr>
          <w:rFonts w:eastAsiaTheme="minorEastAsia"/>
          <w:lang w:val="en-GB"/>
        </w:rPr>
        <w:t xml:space="preserve"> (only one Indoor Hotspot-eMBB) was defined. Area traffic capacity can also be used for immersive communication as immersive communication is an extension of eMBB in IMT-2020. However, for immersive communication in IMT-2030, non-full buffer traffic and the additional requirement of data rate, low latency and high reliability should be considered when determining the capacity</w:t>
      </w:r>
      <w:r>
        <w:rPr>
          <w:rFonts w:eastAsiaTheme="minorEastAsia" w:hint="eastAsia"/>
        </w:rPr>
        <w:t xml:space="preserve"> in order to align with the real deployment</w:t>
      </w:r>
      <w:r>
        <w:rPr>
          <w:rFonts w:eastAsiaTheme="minorEastAsia"/>
          <w:lang w:val="en-GB"/>
        </w:rPr>
        <w:t>. Composite requirement on data rate, latency, reliability and capacity can be adopted for immersive communication, and the capacity of composite requirement is the total traffic throughput of all users that fulfil requirement of data rate, latency and reliability.</w:t>
      </w:r>
    </w:p>
    <w:p w:rsidR="004D6274" w:rsidRDefault="00585D9D">
      <w:pPr>
        <w:snapToGrid w:val="0"/>
        <w:spacing w:beforeLines="50" w:before="120" w:after="120" w:line="240" w:lineRule="auto"/>
        <w:jc w:val="both"/>
        <w:rPr>
          <w:rFonts w:eastAsiaTheme="minorEastAsia"/>
          <w:lang w:val="en-GB"/>
        </w:rPr>
      </w:pPr>
      <w:r>
        <w:rPr>
          <w:rFonts w:eastAsiaTheme="minorEastAsia" w:hint="eastAsia"/>
          <w:b/>
          <w:lang w:val="en-GB"/>
        </w:rPr>
        <w:t>F</w:t>
      </w:r>
      <w:r>
        <w:rPr>
          <w:rFonts w:eastAsiaTheme="minorEastAsia"/>
          <w:b/>
          <w:lang w:val="en-GB"/>
        </w:rPr>
        <w:t>or Hyper Reliable and Low-Latency Communication (HRLLC)</w:t>
      </w:r>
      <w:r>
        <w:rPr>
          <w:rFonts w:eastAsiaTheme="minorEastAsia"/>
          <w:lang w:val="en-GB"/>
        </w:rPr>
        <w:t>, similarly, as elaborated in M.2160, this usage scenario would require support of enhanced reliability and low latency, and depending on the use case, precise positioning, and connection density. Moreover, according to TR 38.824 [5] on URLLC in IMT-2020 in RAN1, the following performance metrics are used:</w:t>
      </w:r>
    </w:p>
    <w:tbl>
      <w:tblPr>
        <w:tblStyle w:val="af7"/>
        <w:tblW w:w="0" w:type="auto"/>
        <w:tblLook w:val="04A0" w:firstRow="1" w:lastRow="0" w:firstColumn="1" w:lastColumn="0" w:noHBand="0" w:noVBand="1"/>
      </w:tblPr>
      <w:tblGrid>
        <w:gridCol w:w="9350"/>
      </w:tblGrid>
      <w:tr w:rsidR="004D6274">
        <w:tc>
          <w:tcPr>
            <w:tcW w:w="9576" w:type="dxa"/>
          </w:tcPr>
          <w:p w:rsidR="004D6274" w:rsidRDefault="00585D9D">
            <w:pPr>
              <w:snapToGrid w:val="0"/>
              <w:spacing w:beforeLines="50" w:before="120" w:after="120" w:line="240" w:lineRule="auto"/>
              <w:rPr>
                <w:rFonts w:eastAsiaTheme="minorEastAsia"/>
              </w:rPr>
            </w:pPr>
            <w:r>
              <w:rPr>
                <w:rFonts w:eastAsiaTheme="minorEastAsia"/>
              </w:rPr>
              <w:t xml:space="preserve">The performance metric for the system level evaluations in this study item, including evaluation of the baseline performance achievable with Rel-15 NR URLLC and evaluation of the performance achievable with potential enhancement(s) for Rel-16 URLLC, is either option 1 or option 2 as below: </w:t>
            </w:r>
          </w:p>
          <w:p w:rsidR="004D6274" w:rsidRDefault="00585D9D">
            <w:pPr>
              <w:snapToGrid w:val="0"/>
              <w:spacing w:beforeLines="50" w:before="120" w:after="120" w:line="240" w:lineRule="auto"/>
              <w:rPr>
                <w:rFonts w:eastAsiaTheme="minorEastAsia"/>
              </w:rPr>
            </w:pPr>
            <w:r>
              <w:rPr>
                <w:rFonts w:eastAsiaTheme="minorEastAsia"/>
              </w:rPr>
              <w:t>-</w:t>
            </w:r>
            <w:r>
              <w:rPr>
                <w:rFonts w:eastAsiaTheme="minorEastAsia"/>
              </w:rPr>
              <w:tab/>
            </w:r>
            <w:r>
              <w:rPr>
                <w:rFonts w:eastAsiaTheme="minorEastAsia"/>
                <w:b/>
              </w:rPr>
              <w:t>Option 1</w:t>
            </w:r>
            <w:r>
              <w:rPr>
                <w:rFonts w:eastAsiaTheme="minorEastAsia"/>
              </w:rPr>
              <w:t>: Percentage of users satisfying reliability and latency requirements</w:t>
            </w:r>
          </w:p>
          <w:p w:rsidR="004D6274" w:rsidRDefault="00585D9D">
            <w:pPr>
              <w:snapToGrid w:val="0"/>
              <w:spacing w:beforeLines="50" w:before="120" w:after="120" w:line="240" w:lineRule="auto"/>
              <w:ind w:leftChars="100" w:left="200"/>
              <w:rPr>
                <w:rFonts w:eastAsiaTheme="minorEastAsia"/>
              </w:rPr>
            </w:pPr>
            <w:r>
              <w:rPr>
                <w:rFonts w:eastAsiaTheme="minorEastAsia"/>
              </w:rPr>
              <w:t>-</w:t>
            </w:r>
            <w:r>
              <w:rPr>
                <w:rFonts w:eastAsiaTheme="minorEastAsia"/>
              </w:rPr>
              <w:tab/>
              <w:t>Intend for the case with fixed number of UEs and fixed traffic model per UE</w:t>
            </w:r>
          </w:p>
          <w:p w:rsidR="004D6274" w:rsidRDefault="00585D9D">
            <w:pPr>
              <w:snapToGrid w:val="0"/>
              <w:spacing w:beforeLines="50" w:before="120" w:after="120" w:line="240" w:lineRule="auto"/>
              <w:rPr>
                <w:rFonts w:eastAsiaTheme="minorEastAsia"/>
              </w:rPr>
            </w:pPr>
            <w:r>
              <w:rPr>
                <w:rFonts w:eastAsiaTheme="minorEastAsia"/>
              </w:rPr>
              <w:t>-</w:t>
            </w:r>
            <w:r>
              <w:rPr>
                <w:rFonts w:eastAsiaTheme="minorEastAsia"/>
              </w:rPr>
              <w:tab/>
            </w:r>
            <w:r>
              <w:rPr>
                <w:rFonts w:eastAsiaTheme="minorEastAsia"/>
                <w:b/>
              </w:rPr>
              <w:t>Option 2</w:t>
            </w:r>
            <w:r>
              <w:rPr>
                <w:rFonts w:eastAsiaTheme="minorEastAsia"/>
              </w:rPr>
              <w:t>: URLLC capacity and URLLC/eMBB multiplexing capacity</w:t>
            </w:r>
          </w:p>
          <w:p w:rsidR="004D6274" w:rsidRDefault="00585D9D">
            <w:pPr>
              <w:snapToGrid w:val="0"/>
              <w:spacing w:beforeLines="50" w:before="120" w:after="120" w:line="240" w:lineRule="auto"/>
              <w:ind w:leftChars="100" w:left="200"/>
              <w:rPr>
                <w:rFonts w:eastAsiaTheme="minorEastAsia"/>
              </w:rPr>
            </w:pPr>
            <w:r>
              <w:rPr>
                <w:rFonts w:eastAsiaTheme="minorEastAsia"/>
              </w:rPr>
              <w:t>-</w:t>
            </w:r>
            <w:r>
              <w:rPr>
                <w:rFonts w:eastAsiaTheme="minorEastAsia"/>
              </w:rPr>
              <w:tab/>
              <w:t xml:space="preserve">Definition: URLLC system capacity is calculated as follows: </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C(L, R) is the maximum offered cell load under which Y% of URLLC UEs in a cell operate with target link reliability R under L latency bound</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X= (100 – Y) % is the percentage of UEs in outage</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A UE in outage is defined as the UE cannot meet both latency L and link reliability R bound</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Companies report their assumption on X (either ~5% or 0%)</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Companies report their assumption on the number of eMBB UEs deployed together with the URLLC UEs</w:t>
            </w:r>
          </w:p>
          <w:p w:rsidR="004D6274" w:rsidRDefault="00585D9D">
            <w:pPr>
              <w:snapToGrid w:val="0"/>
              <w:spacing w:beforeLines="50" w:before="120" w:after="120" w:line="240" w:lineRule="auto"/>
              <w:ind w:leftChars="100" w:left="200"/>
              <w:rPr>
                <w:rFonts w:eastAsiaTheme="minorEastAsia"/>
              </w:rPr>
            </w:pPr>
            <w:r>
              <w:rPr>
                <w:rFonts w:eastAsiaTheme="minorEastAsia"/>
              </w:rPr>
              <w:t>-</w:t>
            </w:r>
            <w:r>
              <w:rPr>
                <w:rFonts w:eastAsiaTheme="minorEastAsia"/>
              </w:rPr>
              <w:tab/>
              <w:t xml:space="preserve">Intend for the case that the number of UEs and/or the data arrival rate is adjustable </w:t>
            </w:r>
          </w:p>
          <w:p w:rsidR="004D6274" w:rsidRDefault="00585D9D">
            <w:pPr>
              <w:snapToGrid w:val="0"/>
              <w:spacing w:beforeLines="50" w:before="120" w:after="120" w:line="240" w:lineRule="auto"/>
              <w:ind w:leftChars="200" w:left="400"/>
              <w:rPr>
                <w:rFonts w:eastAsiaTheme="minorEastAsia"/>
              </w:rPr>
            </w:pPr>
            <w:r>
              <w:rPr>
                <w:rFonts w:eastAsiaTheme="minorEastAsia"/>
              </w:rPr>
              <w:t>-</w:t>
            </w:r>
            <w:r>
              <w:rPr>
                <w:rFonts w:eastAsiaTheme="minorEastAsia"/>
              </w:rPr>
              <w:tab/>
              <w:t>Adjusting the number of UEs should be applied to periodic deterministic traffic model</w:t>
            </w:r>
          </w:p>
        </w:tc>
      </w:tr>
    </w:tbl>
    <w:p w:rsidR="004D6274" w:rsidRDefault="00585D9D">
      <w:pPr>
        <w:snapToGrid w:val="0"/>
        <w:spacing w:beforeLines="50" w:before="120" w:after="120" w:line="240" w:lineRule="auto"/>
        <w:jc w:val="both"/>
        <w:rPr>
          <w:rFonts w:eastAsiaTheme="minorEastAsia"/>
          <w:lang w:val="en-GB"/>
        </w:rPr>
      </w:pPr>
      <w:r>
        <w:rPr>
          <w:rFonts w:eastAsiaTheme="minorEastAsia" w:hint="eastAsia"/>
          <w:lang w:val="en-GB"/>
        </w:rPr>
        <w:t>S</w:t>
      </w:r>
      <w:r>
        <w:rPr>
          <w:rFonts w:eastAsiaTheme="minorEastAsia"/>
          <w:lang w:val="en-GB"/>
        </w:rPr>
        <w:t xml:space="preserve">imilarly, considering the industrial need of HRLLC and the feasibility of evaluating capability under HRLLC (already used in 3GPP RAN1 URLLC study), </w:t>
      </w:r>
      <w:r>
        <w:rPr>
          <w:rFonts w:eastAsiaTheme="minorEastAsia" w:hint="eastAsia"/>
        </w:rPr>
        <w:t>c</w:t>
      </w:r>
      <w:r>
        <w:rPr>
          <w:rFonts w:eastAsiaTheme="minorEastAsia"/>
          <w:lang w:val="en-GB"/>
        </w:rPr>
        <w:t>omposite requirement on data rate, latency, reliability and capacity can be adopted for both immersive communication and HRLLC.</w:t>
      </w:r>
    </w:p>
    <w:p w:rsidR="004D6274" w:rsidRDefault="00585D9D">
      <w:pPr>
        <w:snapToGrid w:val="0"/>
        <w:spacing w:beforeLines="50" w:before="120" w:after="120" w:line="240" w:lineRule="auto"/>
        <w:jc w:val="both"/>
        <w:rPr>
          <w:rFonts w:eastAsiaTheme="minorEastAsia"/>
        </w:rPr>
      </w:pPr>
      <w:r>
        <w:rPr>
          <w:rFonts w:eastAsiaTheme="minorEastAsia"/>
          <w:lang w:val="en-GB"/>
        </w:rPr>
        <w:t>It should be noted that the data rate and traffic throughput requirements for 6G may be much higher than those of NR</w:t>
      </w:r>
      <w:r>
        <w:rPr>
          <w:rFonts w:eastAsiaTheme="minorEastAsia" w:hint="eastAsia"/>
        </w:rPr>
        <w:t xml:space="preserve"> in which it is assumed 32 bytes data only within 1 ms for reliability evaluation according to ITU-R report M.2410</w:t>
      </w:r>
      <w:r>
        <w:rPr>
          <w:rFonts w:eastAsiaTheme="minorEastAsia"/>
          <w:lang w:val="en-GB"/>
        </w:rPr>
        <w:t>. For example, some new use cases, such as 3D factory model-based AR-guided tasks</w:t>
      </w:r>
      <w:r>
        <w:rPr>
          <w:rFonts w:eastAsiaTheme="minorEastAsia" w:hint="eastAsia"/>
        </w:rPr>
        <w:t xml:space="preserve">, </w:t>
      </w:r>
      <w:r>
        <w:rPr>
          <w:rFonts w:eastAsiaTheme="minorEastAsia"/>
          <w:lang w:val="en-GB"/>
        </w:rPr>
        <w:t>cooperating mobile robots</w:t>
      </w:r>
      <w:r>
        <w:rPr>
          <w:rFonts w:eastAsiaTheme="minorEastAsia" w:hint="eastAsia"/>
        </w:rPr>
        <w:t>, etc.</w:t>
      </w:r>
      <w:r>
        <w:rPr>
          <w:rFonts w:eastAsiaTheme="minorEastAsia"/>
          <w:lang w:val="en-GB"/>
        </w:rPr>
        <w:t xml:space="preserve"> [7] [8]</w:t>
      </w:r>
      <w:r>
        <w:rPr>
          <w:rFonts w:eastAsiaTheme="minorEastAsia" w:hint="eastAsia"/>
        </w:rPr>
        <w:t xml:space="preserve"> [9] [10] [11] [12] [13]</w:t>
      </w:r>
      <w:r>
        <w:rPr>
          <w:rFonts w:eastAsiaTheme="minorEastAsia"/>
          <w:lang w:val="en-GB"/>
        </w:rPr>
        <w:t>, were agreed upon in the SA1#109 meeting as 6G use cases</w:t>
      </w:r>
      <w:r>
        <w:rPr>
          <w:rFonts w:eastAsiaTheme="minorEastAsia" w:hint="eastAsia"/>
        </w:rPr>
        <w:t xml:space="preserve"> on industry verticals</w:t>
      </w:r>
      <w:r>
        <w:rPr>
          <w:rFonts w:eastAsiaTheme="minorEastAsia"/>
          <w:lang w:val="en-GB"/>
        </w:rPr>
        <w:t xml:space="preserve">, which are typical HRLLC traffic scenarios. The required data rate could range from 10 Mbits/s to </w:t>
      </w:r>
      <w:r>
        <w:rPr>
          <w:rFonts w:eastAsiaTheme="minorEastAsia" w:hint="eastAsia"/>
        </w:rPr>
        <w:t>22 G</w:t>
      </w:r>
      <w:r>
        <w:rPr>
          <w:rFonts w:eastAsiaTheme="minorEastAsia"/>
          <w:lang w:val="en-GB"/>
        </w:rPr>
        <w:t xml:space="preserve">bits/s, and the area traffic throughput could </w:t>
      </w:r>
      <w:r>
        <w:rPr>
          <w:rFonts w:eastAsiaTheme="minorEastAsia" w:hint="eastAsia"/>
        </w:rPr>
        <w:t xml:space="preserve">even </w:t>
      </w:r>
      <w:r>
        <w:rPr>
          <w:rFonts w:eastAsiaTheme="minorEastAsia"/>
          <w:lang w:val="en-GB"/>
        </w:rPr>
        <w:t>reach as high as 100 Gbits/s/km². In other words, high data rate and traffic capacity should be jointly considered along with latency and reliability for</w:t>
      </w:r>
      <w:r>
        <w:rPr>
          <w:rFonts w:eastAsiaTheme="minorEastAsia" w:hint="eastAsia"/>
        </w:rPr>
        <w:t xml:space="preserve"> </w:t>
      </w:r>
      <w:r>
        <w:rPr>
          <w:rFonts w:eastAsiaTheme="minorEastAsia"/>
          <w:lang w:val="en-GB"/>
        </w:rPr>
        <w:t>HRLLC</w:t>
      </w:r>
      <w:r>
        <w:rPr>
          <w:rFonts w:eastAsiaTheme="minorEastAsia" w:hint="eastAsia"/>
        </w:rPr>
        <w:t xml:space="preserve"> as well as </w:t>
      </w:r>
      <w:r>
        <w:rPr>
          <w:rFonts w:eastAsiaTheme="minorEastAsia"/>
          <w:lang w:val="en-GB"/>
        </w:rPr>
        <w:t>immersive communication.</w:t>
      </w:r>
      <w:r>
        <w:rPr>
          <w:rFonts w:eastAsiaTheme="minorEastAsia" w:hint="eastAsia"/>
        </w:rPr>
        <w:t xml:space="preserve"> The requirement on </w:t>
      </w:r>
      <w:r>
        <w:rPr>
          <w:rFonts w:eastAsiaTheme="minorEastAsia"/>
          <w:lang w:val="en-GB"/>
        </w:rPr>
        <w:t>3D factory</w:t>
      </w:r>
      <w:r>
        <w:rPr>
          <w:rFonts w:eastAsiaTheme="minorEastAsia" w:hint="eastAsia"/>
        </w:rPr>
        <w:t xml:space="preserve"> </w:t>
      </w:r>
      <w:r>
        <w:rPr>
          <w:rFonts w:eastAsiaTheme="minorEastAsia"/>
          <w:lang w:val="en-GB"/>
        </w:rPr>
        <w:t>model-based AR-guided tasks</w:t>
      </w:r>
      <w:r>
        <w:rPr>
          <w:rFonts w:eastAsiaTheme="minorEastAsia" w:hint="eastAsia"/>
        </w:rPr>
        <w:t xml:space="preserve"> is copied below.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274">
        <w:tc>
          <w:tcPr>
            <w:tcW w:w="9576" w:type="dxa"/>
          </w:tcPr>
          <w:p w:rsidR="004D6274" w:rsidRDefault="00585D9D">
            <w:pPr>
              <w:pStyle w:val="TH"/>
              <w:rPr>
                <w:rFonts w:ascii="Times New Roman" w:eastAsia="宋体" w:hAnsi="Times New Roman"/>
                <w:b w:val="0"/>
                <w:bCs/>
              </w:rPr>
            </w:pPr>
            <w:r>
              <w:rPr>
                <w:rFonts w:ascii="Times New Roman" w:hAnsi="Times New Roman"/>
                <w:b w:val="0"/>
                <w:bCs/>
                <w:lang w:eastAsia="zh-CN"/>
              </w:rPr>
              <w:lastRenderedPageBreak/>
              <w:t>Table 11.x.6-1 Performance requirements for simultaneous high data rate, lower latency and higher reliability in factory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27"/>
              <w:gridCol w:w="927"/>
              <w:gridCol w:w="1092"/>
              <w:gridCol w:w="729"/>
              <w:gridCol w:w="936"/>
              <w:gridCol w:w="817"/>
              <w:gridCol w:w="673"/>
              <w:gridCol w:w="683"/>
              <w:gridCol w:w="864"/>
              <w:gridCol w:w="762"/>
            </w:tblGrid>
            <w:tr w:rsidR="004D6274">
              <w:trPr>
                <w:trHeight w:val="883"/>
              </w:trPr>
              <w:tc>
                <w:tcPr>
                  <w:tcW w:w="817"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Scenario</w:t>
                  </w:r>
                </w:p>
              </w:tc>
              <w:tc>
                <w:tcPr>
                  <w:tcW w:w="851"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Experienced data rate (DL)</w:t>
                  </w:r>
                </w:p>
              </w:tc>
              <w:tc>
                <w:tcPr>
                  <w:tcW w:w="850"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Experienced data rate (UL)</w:t>
                  </w:r>
                </w:p>
              </w:tc>
              <w:tc>
                <w:tcPr>
                  <w:tcW w:w="992"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Area traffic capacity</w:t>
                  </w:r>
                </w:p>
                <w:p w:rsidR="004D6274" w:rsidRDefault="00585D9D">
                  <w:pPr>
                    <w:pStyle w:val="TAH"/>
                    <w:rPr>
                      <w:rFonts w:ascii="Times New Roman" w:hAnsi="Times New Roman"/>
                      <w:b w:val="0"/>
                      <w:bCs/>
                      <w:sz w:val="20"/>
                    </w:rPr>
                  </w:pPr>
                  <w:r>
                    <w:rPr>
                      <w:rFonts w:ascii="Times New Roman" w:hAnsi="Times New Roman"/>
                      <w:b w:val="0"/>
                      <w:bCs/>
                      <w:sz w:val="20"/>
                    </w:rPr>
                    <w:t>(DL)</w:t>
                  </w:r>
                </w:p>
              </w:tc>
              <w:tc>
                <w:tcPr>
                  <w:tcW w:w="993" w:type="dxa"/>
                </w:tcPr>
                <w:p w:rsidR="004D6274" w:rsidRDefault="00585D9D">
                  <w:pPr>
                    <w:pStyle w:val="TAH"/>
                    <w:rPr>
                      <w:rFonts w:ascii="Times New Roman" w:hAnsi="Times New Roman"/>
                      <w:b w:val="0"/>
                      <w:bCs/>
                      <w:sz w:val="20"/>
                    </w:rPr>
                  </w:pPr>
                  <w:r>
                    <w:rPr>
                      <w:rFonts w:ascii="Times New Roman" w:hAnsi="Times New Roman"/>
                      <w:b w:val="0"/>
                      <w:bCs/>
                      <w:sz w:val="20"/>
                    </w:rPr>
                    <w:t>Area traffic capacity</w:t>
                  </w:r>
                </w:p>
                <w:p w:rsidR="004D6274" w:rsidRDefault="00585D9D">
                  <w:pPr>
                    <w:pStyle w:val="TAH"/>
                    <w:rPr>
                      <w:rFonts w:ascii="Times New Roman" w:hAnsi="Times New Roman"/>
                      <w:b w:val="0"/>
                      <w:bCs/>
                      <w:sz w:val="20"/>
                    </w:rPr>
                  </w:pPr>
                  <w:r>
                    <w:rPr>
                      <w:rFonts w:ascii="Times New Roman" w:hAnsi="Times New Roman"/>
                      <w:b w:val="0"/>
                      <w:bCs/>
                      <w:sz w:val="20"/>
                    </w:rPr>
                    <w:t>(UL)</w:t>
                  </w:r>
                </w:p>
              </w:tc>
              <w:tc>
                <w:tcPr>
                  <w:tcW w:w="850" w:type="dxa"/>
                </w:tcPr>
                <w:p w:rsidR="004D6274" w:rsidRDefault="00585D9D">
                  <w:pPr>
                    <w:pStyle w:val="TAH"/>
                    <w:rPr>
                      <w:rFonts w:ascii="Times New Roman" w:hAnsi="Times New Roman"/>
                      <w:b w:val="0"/>
                      <w:bCs/>
                      <w:sz w:val="20"/>
                      <w:lang w:eastAsia="zh-CN"/>
                    </w:rPr>
                  </w:pPr>
                  <w:r>
                    <w:rPr>
                      <w:rFonts w:ascii="Times New Roman" w:hAnsi="Times New Roman"/>
                      <w:b w:val="0"/>
                      <w:bCs/>
                      <w:sz w:val="20"/>
                      <w:lang w:eastAsia="zh-CN"/>
                    </w:rPr>
                    <w:t xml:space="preserve">Network transmission Latency </w:t>
                  </w:r>
                </w:p>
              </w:tc>
              <w:tc>
                <w:tcPr>
                  <w:tcW w:w="992" w:type="dxa"/>
                </w:tcPr>
                <w:p w:rsidR="004D6274" w:rsidRDefault="00585D9D">
                  <w:pPr>
                    <w:pStyle w:val="TAH"/>
                    <w:rPr>
                      <w:rFonts w:ascii="Times New Roman" w:hAnsi="Times New Roman"/>
                      <w:b w:val="0"/>
                      <w:bCs/>
                      <w:sz w:val="20"/>
                      <w:lang w:eastAsia="zh-CN"/>
                    </w:rPr>
                  </w:pPr>
                  <w:r>
                    <w:rPr>
                      <w:rFonts w:ascii="Times New Roman" w:hAnsi="Times New Roman"/>
                      <w:b w:val="0"/>
                      <w:bCs/>
                      <w:sz w:val="20"/>
                      <w:lang w:eastAsia="zh-CN"/>
                    </w:rPr>
                    <w:t>Reliability</w:t>
                  </w:r>
                </w:p>
              </w:tc>
              <w:tc>
                <w:tcPr>
                  <w:tcW w:w="993"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 xml:space="preserve">Overall UE density </w:t>
                  </w:r>
                </w:p>
              </w:tc>
              <w:tc>
                <w:tcPr>
                  <w:tcW w:w="708" w:type="dxa"/>
                </w:tcPr>
                <w:p w:rsidR="004D6274" w:rsidRDefault="00585D9D">
                  <w:pPr>
                    <w:pStyle w:val="TAH"/>
                    <w:rPr>
                      <w:rFonts w:ascii="Times New Roman" w:hAnsi="Times New Roman"/>
                      <w:b w:val="0"/>
                      <w:bCs/>
                      <w:sz w:val="20"/>
                    </w:rPr>
                  </w:pPr>
                  <w:r>
                    <w:rPr>
                      <w:rFonts w:ascii="Times New Roman" w:hAnsi="Times New Roman"/>
                      <w:b w:val="0"/>
                      <w:bCs/>
                      <w:sz w:val="20"/>
                    </w:rPr>
                    <w:t>Activity factor</w:t>
                  </w:r>
                </w:p>
              </w:tc>
              <w:tc>
                <w:tcPr>
                  <w:tcW w:w="851"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UE speed</w:t>
                  </w:r>
                </w:p>
              </w:tc>
              <w:tc>
                <w:tcPr>
                  <w:tcW w:w="850" w:type="dxa"/>
                  <w:shd w:val="clear" w:color="auto" w:fill="auto"/>
                </w:tcPr>
                <w:p w:rsidR="004D6274" w:rsidRDefault="00585D9D">
                  <w:pPr>
                    <w:pStyle w:val="TAH"/>
                    <w:rPr>
                      <w:rFonts w:ascii="Times New Roman" w:hAnsi="Times New Roman"/>
                      <w:b w:val="0"/>
                      <w:bCs/>
                      <w:sz w:val="20"/>
                    </w:rPr>
                  </w:pPr>
                  <w:r>
                    <w:rPr>
                      <w:rFonts w:ascii="Times New Roman" w:hAnsi="Times New Roman"/>
                      <w:b w:val="0"/>
                      <w:bCs/>
                      <w:sz w:val="20"/>
                    </w:rPr>
                    <w:t>Coverage</w:t>
                  </w:r>
                </w:p>
              </w:tc>
            </w:tr>
            <w:tr w:rsidR="004D6274">
              <w:trPr>
                <w:trHeight w:val="193"/>
              </w:trPr>
              <w:tc>
                <w:tcPr>
                  <w:tcW w:w="817" w:type="dxa"/>
                  <w:shd w:val="clear" w:color="auto" w:fill="auto"/>
                </w:tcPr>
                <w:p w:rsidR="004D6274" w:rsidRDefault="00585D9D">
                  <w:pPr>
                    <w:pStyle w:val="TAC"/>
                    <w:rPr>
                      <w:rFonts w:ascii="Times New Roman" w:hAnsi="Times New Roman"/>
                      <w:bCs/>
                      <w:sz w:val="20"/>
                      <w:lang w:eastAsia="zh-CN"/>
                    </w:rPr>
                  </w:pPr>
                  <w:r>
                    <w:rPr>
                      <w:rFonts w:ascii="Times New Roman" w:hAnsi="Times New Roman"/>
                      <w:bCs/>
                      <w:sz w:val="20"/>
                      <w:lang w:eastAsia="zh-CN"/>
                    </w:rPr>
                    <w:t xml:space="preserve">AR guided task </w:t>
                  </w:r>
                </w:p>
              </w:tc>
              <w:tc>
                <w:tcPr>
                  <w:tcW w:w="851" w:type="dxa"/>
                  <w:shd w:val="clear" w:color="auto" w:fill="auto"/>
                </w:tcPr>
                <w:p w:rsidR="004D6274" w:rsidRDefault="004D6274">
                  <w:pPr>
                    <w:pStyle w:val="TAC"/>
                    <w:rPr>
                      <w:rFonts w:ascii="Times New Roman" w:hAnsi="Times New Roman"/>
                      <w:bCs/>
                      <w:sz w:val="20"/>
                    </w:rPr>
                  </w:pPr>
                </w:p>
                <w:p w:rsidR="004D6274" w:rsidRDefault="00585D9D">
                  <w:pPr>
                    <w:pStyle w:val="TAC"/>
                    <w:rPr>
                      <w:rFonts w:ascii="Times New Roman" w:hAnsi="Times New Roman"/>
                      <w:bCs/>
                      <w:sz w:val="20"/>
                    </w:rPr>
                  </w:pPr>
                  <w:r>
                    <w:rPr>
                      <w:rFonts w:ascii="Times New Roman" w:hAnsi="Times New Roman"/>
                      <w:bCs/>
                      <w:sz w:val="20"/>
                    </w:rPr>
                    <w:t>240-500M</w:t>
                  </w:r>
                </w:p>
                <w:p w:rsidR="004D6274" w:rsidRDefault="00585D9D">
                  <w:pPr>
                    <w:pStyle w:val="TAC"/>
                    <w:rPr>
                      <w:rFonts w:ascii="Times New Roman" w:hAnsi="Times New Roman"/>
                      <w:bCs/>
                      <w:sz w:val="20"/>
                    </w:rPr>
                  </w:pPr>
                  <w:r>
                    <w:rPr>
                      <w:rFonts w:ascii="Times New Roman" w:hAnsi="Times New Roman"/>
                      <w:bCs/>
                      <w:sz w:val="20"/>
                    </w:rPr>
                    <w:t>bit/s</w:t>
                  </w:r>
                </w:p>
              </w:tc>
              <w:tc>
                <w:tcPr>
                  <w:tcW w:w="850" w:type="dxa"/>
                  <w:shd w:val="clear" w:color="auto" w:fill="auto"/>
                </w:tcPr>
                <w:p w:rsidR="004D6274" w:rsidRDefault="00585D9D">
                  <w:pPr>
                    <w:pStyle w:val="TAC"/>
                    <w:rPr>
                      <w:rFonts w:ascii="Times New Roman" w:hAnsi="Times New Roman"/>
                      <w:bCs/>
                      <w:sz w:val="20"/>
                    </w:rPr>
                  </w:pPr>
                  <w:r>
                    <w:rPr>
                      <w:rFonts w:ascii="Times New Roman" w:hAnsi="Times New Roman"/>
                      <w:bCs/>
                      <w:sz w:val="20"/>
                    </w:rPr>
                    <w:t xml:space="preserve"> 50M</w:t>
                  </w:r>
                </w:p>
                <w:p w:rsidR="004D6274" w:rsidRDefault="00585D9D">
                  <w:pPr>
                    <w:pStyle w:val="TAC"/>
                    <w:rPr>
                      <w:rFonts w:ascii="Times New Roman" w:hAnsi="Times New Roman"/>
                      <w:bCs/>
                      <w:sz w:val="20"/>
                    </w:rPr>
                  </w:pPr>
                  <w:r>
                    <w:rPr>
                      <w:rFonts w:ascii="Times New Roman" w:hAnsi="Times New Roman"/>
                      <w:bCs/>
                      <w:sz w:val="20"/>
                    </w:rPr>
                    <w:t>bit/s</w:t>
                  </w:r>
                </w:p>
              </w:tc>
              <w:tc>
                <w:tcPr>
                  <w:tcW w:w="992" w:type="dxa"/>
                  <w:shd w:val="clear" w:color="auto" w:fill="auto"/>
                </w:tcPr>
                <w:p w:rsidR="004D6274" w:rsidRDefault="00585D9D">
                  <w:pPr>
                    <w:pStyle w:val="TAC"/>
                    <w:rPr>
                      <w:rFonts w:ascii="Times New Roman" w:hAnsi="Times New Roman"/>
                      <w:bCs/>
                      <w:sz w:val="20"/>
                    </w:rPr>
                  </w:pPr>
                  <w:r>
                    <w:rPr>
                      <w:rFonts w:ascii="Times New Roman" w:hAnsi="Times New Roman"/>
                      <w:bCs/>
                      <w:sz w:val="20"/>
                    </w:rPr>
                    <w:t>[50 - 100]Gbit/s/km</w:t>
                  </w:r>
                  <w:r>
                    <w:rPr>
                      <w:rFonts w:ascii="Times New Roman" w:hAnsi="Times New Roman"/>
                      <w:bCs/>
                      <w:sz w:val="20"/>
                      <w:vertAlign w:val="superscript"/>
                    </w:rPr>
                    <w:t>2</w:t>
                  </w:r>
                </w:p>
              </w:tc>
              <w:tc>
                <w:tcPr>
                  <w:tcW w:w="993" w:type="dxa"/>
                </w:tcPr>
                <w:p w:rsidR="004D6274" w:rsidRDefault="00585D9D">
                  <w:pPr>
                    <w:pStyle w:val="TAC"/>
                    <w:rPr>
                      <w:rFonts w:ascii="Times New Roman" w:hAnsi="Times New Roman"/>
                      <w:bCs/>
                      <w:sz w:val="20"/>
                    </w:rPr>
                  </w:pPr>
                  <w:r>
                    <w:rPr>
                      <w:rFonts w:ascii="Times New Roman" w:hAnsi="Times New Roman"/>
                      <w:bCs/>
                      <w:sz w:val="20"/>
                    </w:rPr>
                    <w:t>[10]G</w:t>
                  </w:r>
                </w:p>
                <w:p w:rsidR="004D6274" w:rsidRDefault="00585D9D">
                  <w:pPr>
                    <w:pStyle w:val="TAC"/>
                    <w:rPr>
                      <w:rFonts w:ascii="Times New Roman" w:hAnsi="Times New Roman"/>
                      <w:bCs/>
                      <w:sz w:val="20"/>
                    </w:rPr>
                  </w:pPr>
                  <w:r>
                    <w:rPr>
                      <w:rFonts w:ascii="Times New Roman" w:hAnsi="Times New Roman"/>
                      <w:bCs/>
                      <w:sz w:val="20"/>
                    </w:rPr>
                    <w:t>bit/s/km</w:t>
                  </w:r>
                  <w:r>
                    <w:rPr>
                      <w:rFonts w:ascii="Times New Roman" w:hAnsi="Times New Roman"/>
                      <w:bCs/>
                      <w:sz w:val="20"/>
                      <w:vertAlign w:val="superscript"/>
                    </w:rPr>
                    <w:t>2</w:t>
                  </w:r>
                </w:p>
              </w:tc>
              <w:tc>
                <w:tcPr>
                  <w:tcW w:w="850" w:type="dxa"/>
                </w:tcPr>
                <w:p w:rsidR="004D6274" w:rsidRDefault="00585D9D">
                  <w:pPr>
                    <w:pStyle w:val="TAC"/>
                    <w:rPr>
                      <w:rFonts w:ascii="Times New Roman" w:hAnsi="Times New Roman"/>
                      <w:bCs/>
                      <w:sz w:val="20"/>
                      <w:lang w:eastAsia="zh-CN"/>
                    </w:rPr>
                  </w:pPr>
                  <w:r>
                    <w:rPr>
                      <w:rFonts w:ascii="Times New Roman" w:hAnsi="Times New Roman"/>
                      <w:bCs/>
                      <w:sz w:val="20"/>
                      <w:lang w:eastAsia="zh-CN"/>
                    </w:rPr>
                    <w:t>1 to 5ms</w:t>
                  </w:r>
                </w:p>
                <w:p w:rsidR="004D6274" w:rsidRDefault="00585D9D">
                  <w:pPr>
                    <w:pStyle w:val="TAC"/>
                    <w:rPr>
                      <w:rFonts w:ascii="Times New Roman" w:hAnsi="Times New Roman"/>
                      <w:bCs/>
                      <w:sz w:val="20"/>
                      <w:lang w:eastAsia="zh-CN"/>
                    </w:rPr>
                  </w:pPr>
                  <w:r>
                    <w:rPr>
                      <w:rFonts w:ascii="Times New Roman" w:hAnsi="Times New Roman"/>
                      <w:bCs/>
                      <w:sz w:val="20"/>
                      <w:lang w:eastAsia="zh-CN"/>
                    </w:rPr>
                    <w:t>(note 4)</w:t>
                  </w:r>
                </w:p>
              </w:tc>
              <w:tc>
                <w:tcPr>
                  <w:tcW w:w="992" w:type="dxa"/>
                </w:tcPr>
                <w:p w:rsidR="004D6274" w:rsidRDefault="00585D9D">
                  <w:pPr>
                    <w:pStyle w:val="TAC"/>
                    <w:rPr>
                      <w:rFonts w:ascii="Times New Roman" w:hAnsi="Times New Roman"/>
                      <w:bCs/>
                      <w:sz w:val="20"/>
                      <w:lang w:eastAsia="zh-CN"/>
                    </w:rPr>
                  </w:pPr>
                  <w:r>
                    <w:rPr>
                      <w:rFonts w:ascii="Times New Roman" w:hAnsi="Times New Roman"/>
                      <w:bCs/>
                      <w:sz w:val="20"/>
                      <w:lang w:eastAsia="zh-CN"/>
                    </w:rPr>
                    <w:t xml:space="preserve"> Up to 99.999%</w:t>
                  </w:r>
                </w:p>
              </w:tc>
              <w:tc>
                <w:tcPr>
                  <w:tcW w:w="993" w:type="dxa"/>
                  <w:shd w:val="clear" w:color="auto" w:fill="auto"/>
                </w:tcPr>
                <w:p w:rsidR="004D6274" w:rsidRDefault="00585D9D">
                  <w:pPr>
                    <w:pStyle w:val="TAC"/>
                    <w:rPr>
                      <w:rFonts w:ascii="Times New Roman" w:hAnsi="Times New Roman"/>
                      <w:bCs/>
                      <w:sz w:val="20"/>
                      <w:vertAlign w:val="superscript"/>
                    </w:rPr>
                  </w:pPr>
                  <w:r>
                    <w:rPr>
                      <w:rFonts w:ascii="Times New Roman" w:hAnsi="Times New Roman"/>
                      <w:bCs/>
                      <w:sz w:val="20"/>
                    </w:rPr>
                    <w:t>[200 00]/km</w:t>
                  </w:r>
                  <w:r>
                    <w:rPr>
                      <w:rFonts w:ascii="Times New Roman" w:hAnsi="Times New Roman"/>
                      <w:bCs/>
                      <w:sz w:val="20"/>
                      <w:vertAlign w:val="superscript"/>
                    </w:rPr>
                    <w:t>2</w:t>
                  </w:r>
                </w:p>
                <w:p w:rsidR="004D6274" w:rsidRDefault="004D6274">
                  <w:pPr>
                    <w:pStyle w:val="TAC"/>
                    <w:rPr>
                      <w:rFonts w:ascii="Times New Roman" w:hAnsi="Times New Roman"/>
                      <w:bCs/>
                      <w:sz w:val="20"/>
                      <w:vertAlign w:val="superscript"/>
                    </w:rPr>
                  </w:pPr>
                </w:p>
                <w:p w:rsidR="004D6274" w:rsidRDefault="00585D9D">
                  <w:pPr>
                    <w:pStyle w:val="TAC"/>
                    <w:rPr>
                      <w:rFonts w:ascii="Times New Roman" w:hAnsi="Times New Roman"/>
                      <w:bCs/>
                      <w:sz w:val="20"/>
                    </w:rPr>
                  </w:pPr>
                  <w:r>
                    <w:rPr>
                      <w:rFonts w:ascii="Times New Roman" w:hAnsi="Times New Roman"/>
                      <w:bCs/>
                      <w:sz w:val="20"/>
                    </w:rPr>
                    <w:t>(note 2)</w:t>
                  </w:r>
                </w:p>
                <w:p w:rsidR="004D6274" w:rsidRDefault="004D6274">
                  <w:pPr>
                    <w:pStyle w:val="TAC"/>
                    <w:rPr>
                      <w:rFonts w:ascii="Times New Roman" w:hAnsi="Times New Roman"/>
                      <w:bCs/>
                      <w:sz w:val="20"/>
                    </w:rPr>
                  </w:pPr>
                </w:p>
              </w:tc>
              <w:tc>
                <w:tcPr>
                  <w:tcW w:w="708" w:type="dxa"/>
                </w:tcPr>
                <w:p w:rsidR="004D6274" w:rsidRDefault="00585D9D">
                  <w:pPr>
                    <w:pStyle w:val="TAC"/>
                    <w:rPr>
                      <w:rFonts w:ascii="Times New Roman" w:hAnsi="Times New Roman"/>
                      <w:bCs/>
                      <w:sz w:val="20"/>
                    </w:rPr>
                  </w:pPr>
                  <w:r>
                    <w:rPr>
                      <w:rFonts w:ascii="Times New Roman" w:hAnsi="Times New Roman"/>
                      <w:bCs/>
                      <w:sz w:val="20"/>
                    </w:rPr>
                    <w:t>(note 1)</w:t>
                  </w:r>
                </w:p>
              </w:tc>
              <w:tc>
                <w:tcPr>
                  <w:tcW w:w="851" w:type="dxa"/>
                  <w:shd w:val="clear" w:color="auto" w:fill="auto"/>
                </w:tcPr>
                <w:p w:rsidR="004D6274" w:rsidRDefault="00585D9D">
                  <w:pPr>
                    <w:pStyle w:val="TAC"/>
                    <w:rPr>
                      <w:rFonts w:ascii="Times New Roman" w:hAnsi="Times New Roman"/>
                      <w:bCs/>
                      <w:sz w:val="20"/>
                    </w:rPr>
                  </w:pPr>
                  <w:r>
                    <w:rPr>
                      <w:rFonts w:ascii="Times New Roman" w:hAnsi="Times New Roman"/>
                      <w:bCs/>
                      <w:sz w:val="20"/>
                    </w:rPr>
                    <w:t>Pedestrians</w:t>
                  </w:r>
                </w:p>
              </w:tc>
              <w:tc>
                <w:tcPr>
                  <w:tcW w:w="850" w:type="dxa"/>
                  <w:shd w:val="clear" w:color="auto" w:fill="auto"/>
                </w:tcPr>
                <w:p w:rsidR="004D6274" w:rsidRDefault="00585D9D">
                  <w:pPr>
                    <w:pStyle w:val="TAL"/>
                    <w:rPr>
                      <w:rFonts w:ascii="Times New Roman" w:hAnsi="Times New Roman"/>
                      <w:bCs/>
                      <w:sz w:val="20"/>
                      <w:lang w:eastAsia="zh-CN"/>
                    </w:rPr>
                  </w:pPr>
                  <w:r>
                    <w:rPr>
                      <w:rFonts w:ascii="Times New Roman" w:hAnsi="Times New Roman"/>
                      <w:bCs/>
                      <w:sz w:val="20"/>
                      <w:lang w:eastAsia="zh-CN"/>
                    </w:rPr>
                    <w:t>Factory</w:t>
                  </w:r>
                </w:p>
              </w:tc>
            </w:tr>
          </w:tbl>
          <w:p w:rsidR="004D6274" w:rsidRDefault="004D6274">
            <w:pPr>
              <w:snapToGrid w:val="0"/>
              <w:spacing w:beforeLines="50" w:before="120" w:after="120" w:line="240" w:lineRule="auto"/>
              <w:jc w:val="both"/>
              <w:rPr>
                <w:rFonts w:eastAsiaTheme="minorEastAsia"/>
                <w:bCs/>
                <w:szCs w:val="20"/>
              </w:rPr>
            </w:pPr>
          </w:p>
        </w:tc>
      </w:tr>
    </w:tbl>
    <w:p w:rsidR="004D6274" w:rsidRDefault="004D6274">
      <w:pPr>
        <w:snapToGrid w:val="0"/>
        <w:spacing w:beforeLines="50" w:before="120" w:after="120" w:line="240" w:lineRule="auto"/>
        <w:jc w:val="both"/>
        <w:rPr>
          <w:rFonts w:eastAsiaTheme="minorEastAsia"/>
        </w:rPr>
      </w:pPr>
    </w:p>
    <w:p w:rsidR="004D6274" w:rsidRDefault="004D6274">
      <w:pPr>
        <w:snapToGrid w:val="0"/>
        <w:spacing w:beforeLines="50" w:before="120" w:after="120" w:line="240" w:lineRule="auto"/>
        <w:jc w:val="both"/>
        <w:rPr>
          <w:rFonts w:eastAsiaTheme="minorEastAsia"/>
          <w:lang w:val="en-GB"/>
        </w:rPr>
      </w:pPr>
    </w:p>
    <w:p w:rsidR="004D6274" w:rsidRDefault="00585D9D">
      <w:pPr>
        <w:snapToGrid w:val="0"/>
        <w:spacing w:beforeLines="50" w:before="120" w:after="120" w:line="240" w:lineRule="auto"/>
        <w:jc w:val="both"/>
        <w:rPr>
          <w:rFonts w:eastAsiaTheme="minorEastAsia"/>
          <w:b/>
          <w:lang w:val="en-GB"/>
        </w:rPr>
      </w:pPr>
      <w:r>
        <w:rPr>
          <w:rFonts w:eastAsiaTheme="minorEastAsia" w:hint="eastAsia"/>
          <w:b/>
          <w:lang w:val="en-GB"/>
        </w:rPr>
        <w:t>P</w:t>
      </w:r>
      <w:r>
        <w:rPr>
          <w:rFonts w:eastAsiaTheme="minorEastAsia"/>
          <w:b/>
          <w:lang w:val="en-GB"/>
        </w:rPr>
        <w:t>roposal 2: Composite requirement on data rate, latency, reliability and capacity can be adopted for both immersive communication and HRLLC.</w:t>
      </w:r>
    </w:p>
    <w:p w:rsidR="004D6274" w:rsidRDefault="00585D9D">
      <w:pPr>
        <w:pStyle w:val="aff0"/>
        <w:numPr>
          <w:ilvl w:val="0"/>
          <w:numId w:val="14"/>
        </w:numPr>
        <w:snapToGrid w:val="0"/>
        <w:spacing w:beforeLines="50" w:before="120" w:after="120" w:line="240" w:lineRule="auto"/>
        <w:ind w:firstLineChars="0"/>
        <w:jc w:val="both"/>
        <w:rPr>
          <w:rFonts w:eastAsiaTheme="minorEastAsia"/>
          <w:b/>
          <w:lang w:val="en-GB"/>
        </w:rPr>
      </w:pPr>
      <w:r>
        <w:rPr>
          <w:rFonts w:eastAsiaTheme="minorEastAsia"/>
          <w:b/>
          <w:lang w:val="en-GB"/>
        </w:rPr>
        <w:t>This requirement is defined as the total traffic throughput of all users within a geographic area that fulfil the required data date, latency and reliability.</w:t>
      </w:r>
    </w:p>
    <w:p w:rsidR="004D6274" w:rsidRDefault="004D6274">
      <w:pPr>
        <w:snapToGrid w:val="0"/>
        <w:spacing w:beforeLines="50" w:before="120" w:afterLines="50" w:after="120" w:line="240" w:lineRule="auto"/>
        <w:jc w:val="both"/>
        <w:rPr>
          <w:rFonts w:eastAsiaTheme="minorEastAsia"/>
        </w:rPr>
      </w:pPr>
    </w:p>
    <w:p w:rsidR="004D6274" w:rsidRDefault="00585D9D">
      <w:pPr>
        <w:snapToGrid w:val="0"/>
        <w:spacing w:beforeLines="50" w:before="120" w:afterLines="50" w:after="120" w:line="240" w:lineRule="auto"/>
        <w:jc w:val="both"/>
        <w:rPr>
          <w:rFonts w:eastAsiaTheme="minorEastAsia"/>
        </w:rPr>
      </w:pPr>
      <w:r>
        <w:rPr>
          <w:rFonts w:eastAsiaTheme="minorEastAsia" w:hint="eastAsia"/>
        </w:rPr>
        <w:t>Specifically, t</w:t>
      </w:r>
      <w:r>
        <w:rPr>
          <w:rFonts w:eastAsiaTheme="minorEastAsia"/>
        </w:rPr>
        <w:t>his</w:t>
      </w:r>
      <w:r>
        <w:rPr>
          <w:rFonts w:eastAsiaTheme="minorEastAsia" w:hint="eastAsia"/>
        </w:rPr>
        <w:t xml:space="preserve"> composite</w:t>
      </w:r>
      <w:r>
        <w:rPr>
          <w:rFonts w:eastAsiaTheme="minorEastAsia"/>
        </w:rPr>
        <w:t xml:space="preserve"> requirement is defined as the total traffic throughput of all users</w:t>
      </w:r>
      <w:r>
        <w:rPr>
          <w:rFonts w:eastAsiaTheme="minorEastAsia"/>
          <w:lang w:val="en-GB"/>
        </w:rPr>
        <w:t xml:space="preserve"> within a geographic area</w:t>
      </w:r>
      <w:r>
        <w:rPr>
          <w:rFonts w:eastAsiaTheme="minorEastAsia"/>
        </w:rPr>
        <w:t xml:space="preserve"> that fulfil the required success probability (reliability) of transmitting a layer 2/3 packet within a required latency, which is the time it takes to deliver a data packet from the radio protocol layer 2/3 SDU ingress point to the radio protocol layer 2/3 SDU egress point of the radio interface at a certain channel quality.</w:t>
      </w:r>
    </w:p>
    <w:p w:rsidR="004D6274" w:rsidRDefault="00585D9D">
      <w:pPr>
        <w:snapToGrid w:val="0"/>
        <w:spacing w:beforeLines="50" w:before="120" w:afterLines="50" w:after="120" w:line="240" w:lineRule="auto"/>
        <w:jc w:val="both"/>
        <w:rPr>
          <w:rFonts w:eastAsiaTheme="minorEastAsia"/>
        </w:rPr>
      </w:pPr>
      <w:r>
        <w:rPr>
          <w:rFonts w:eastAsiaTheme="minorEastAsia"/>
        </w:rPr>
        <w:t>This requirement is defined for the purpose of evaluation in the Immersive Communication and Hyper-Reliable Low Latency Communication usage scenario. The minimum performance requirement for various test environments is summarized in Table X</w:t>
      </w:r>
      <w:r>
        <w:rPr>
          <w:rFonts w:eastAsiaTheme="minorEastAsia" w:hint="eastAsia"/>
        </w:rPr>
        <w:t xml:space="preserve"> in the latest ITU WP 5D report [4]</w:t>
      </w:r>
      <w:r>
        <w:rPr>
          <w:rFonts w:eastAsiaTheme="minorEastAsia"/>
        </w:rPr>
        <w:t>.</w:t>
      </w:r>
      <w:r>
        <w:rPr>
          <w:rFonts w:eastAsiaTheme="minorEastAsia" w:hint="eastAsia"/>
        </w:rPr>
        <w:t xml:space="preserve"> Here is our suggestion where the required values can be further studied.</w:t>
      </w:r>
    </w:p>
    <w:p w:rsidR="004D6274" w:rsidRDefault="00585D9D">
      <w:pPr>
        <w:snapToGrid w:val="0"/>
        <w:spacing w:beforeLines="50" w:before="120" w:afterLines="50" w:after="120" w:line="240" w:lineRule="auto"/>
        <w:jc w:val="center"/>
        <w:rPr>
          <w:rFonts w:eastAsiaTheme="minorEastAsia"/>
        </w:rPr>
      </w:pPr>
      <w:r>
        <w:rPr>
          <w:rFonts w:eastAsiaTheme="minorEastAsia"/>
        </w:rPr>
        <w:t>TABLE X</w:t>
      </w:r>
    </w:p>
    <w:p w:rsidR="004D6274" w:rsidRDefault="00585D9D">
      <w:pPr>
        <w:snapToGrid w:val="0"/>
        <w:spacing w:after="0" w:line="240" w:lineRule="auto"/>
        <w:jc w:val="center"/>
        <w:rPr>
          <w:rFonts w:eastAsiaTheme="minorEastAsia"/>
          <w:b/>
        </w:rPr>
      </w:pPr>
      <w:r>
        <w:rPr>
          <w:rFonts w:eastAsiaTheme="minorEastAsia"/>
          <w:b/>
        </w:rPr>
        <w:t>Composite requirement</w:t>
      </w:r>
    </w:p>
    <w:p w:rsidR="004D6274" w:rsidRDefault="004D6274">
      <w:pPr>
        <w:snapToGrid w:val="0"/>
        <w:spacing w:after="0" w:line="240" w:lineRule="auto"/>
        <w:rPr>
          <w:rFonts w:eastAsiaTheme="minorEastAsia"/>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516"/>
        <w:gridCol w:w="1247"/>
        <w:gridCol w:w="1393"/>
        <w:gridCol w:w="3126"/>
      </w:tblGrid>
      <w:tr w:rsidR="004D6274">
        <w:trPr>
          <w:trHeight w:val="521"/>
        </w:trPr>
        <w:tc>
          <w:tcPr>
            <w:tcW w:w="2104" w:type="dxa"/>
            <w:vMerge w:val="restart"/>
            <w:vAlign w:val="center"/>
          </w:tcPr>
          <w:p w:rsidR="004D6274" w:rsidRDefault="00585D9D">
            <w:pPr>
              <w:snapToGrid w:val="0"/>
              <w:spacing w:after="0" w:line="240" w:lineRule="auto"/>
              <w:rPr>
                <w:rFonts w:eastAsiaTheme="minorEastAsia"/>
                <w:b/>
              </w:rPr>
            </w:pPr>
            <w:r>
              <w:rPr>
                <w:rFonts w:eastAsiaTheme="minorEastAsia"/>
                <w:b/>
              </w:rPr>
              <w:t>Test environment</w:t>
            </w:r>
          </w:p>
        </w:tc>
        <w:tc>
          <w:tcPr>
            <w:tcW w:w="1551" w:type="dxa"/>
            <w:vMerge w:val="restart"/>
            <w:vAlign w:val="center"/>
          </w:tcPr>
          <w:p w:rsidR="004D6274" w:rsidRDefault="00585D9D">
            <w:pPr>
              <w:snapToGrid w:val="0"/>
              <w:spacing w:after="0" w:line="240" w:lineRule="auto"/>
              <w:rPr>
                <w:rFonts w:eastAsiaTheme="minorEastAsia"/>
                <w:b/>
              </w:rPr>
            </w:pPr>
            <w:r>
              <w:rPr>
                <w:rFonts w:eastAsiaTheme="minorEastAsia"/>
                <w:b/>
              </w:rPr>
              <w:t>Data rate (Mbits/s)</w:t>
            </w:r>
          </w:p>
        </w:tc>
        <w:tc>
          <w:tcPr>
            <w:tcW w:w="1270" w:type="dxa"/>
            <w:vMerge w:val="restart"/>
            <w:vAlign w:val="center"/>
          </w:tcPr>
          <w:p w:rsidR="004D6274" w:rsidRDefault="00585D9D">
            <w:pPr>
              <w:snapToGrid w:val="0"/>
              <w:spacing w:after="0" w:line="240" w:lineRule="auto"/>
              <w:rPr>
                <w:rFonts w:eastAsiaTheme="minorEastAsia"/>
                <w:b/>
              </w:rPr>
            </w:pPr>
            <w:r>
              <w:rPr>
                <w:rFonts w:eastAsiaTheme="minorEastAsia"/>
                <w:b/>
              </w:rPr>
              <w:t xml:space="preserve">Latency </w:t>
            </w:r>
            <w:r>
              <w:rPr>
                <w:rFonts w:eastAsiaTheme="minorEastAsia"/>
                <w:b/>
              </w:rPr>
              <w:br/>
              <w:t>(ms)</w:t>
            </w:r>
          </w:p>
        </w:tc>
        <w:tc>
          <w:tcPr>
            <w:tcW w:w="1412" w:type="dxa"/>
            <w:vMerge w:val="restart"/>
            <w:vAlign w:val="center"/>
          </w:tcPr>
          <w:p w:rsidR="004D6274" w:rsidRDefault="00585D9D">
            <w:pPr>
              <w:snapToGrid w:val="0"/>
              <w:spacing w:after="0" w:line="240" w:lineRule="auto"/>
              <w:rPr>
                <w:rFonts w:eastAsiaTheme="minorEastAsia"/>
                <w:b/>
              </w:rPr>
            </w:pPr>
            <w:r>
              <w:rPr>
                <w:rFonts w:eastAsiaTheme="minorEastAsia"/>
                <w:b/>
              </w:rPr>
              <w:t>Reliability</w:t>
            </w:r>
          </w:p>
        </w:tc>
        <w:tc>
          <w:tcPr>
            <w:tcW w:w="3239" w:type="dxa"/>
            <w:vMerge w:val="restart"/>
            <w:vAlign w:val="center"/>
          </w:tcPr>
          <w:p w:rsidR="004D6274" w:rsidRDefault="00585D9D">
            <w:pPr>
              <w:snapToGrid w:val="0"/>
              <w:spacing w:after="0" w:line="240" w:lineRule="auto"/>
              <w:rPr>
                <w:rFonts w:eastAsiaTheme="minorEastAsia"/>
                <w:b/>
              </w:rPr>
            </w:pPr>
            <w:r>
              <w:rPr>
                <w:rFonts w:eastAsiaTheme="minorEastAsia"/>
                <w:b/>
              </w:rPr>
              <w:t>Total traffic throughput (Mbits/s/km2)</w:t>
            </w:r>
          </w:p>
        </w:tc>
      </w:tr>
      <w:tr w:rsidR="004D6274">
        <w:trPr>
          <w:trHeight w:val="290"/>
        </w:trPr>
        <w:tc>
          <w:tcPr>
            <w:tcW w:w="0" w:type="auto"/>
            <w:vMerge/>
            <w:vAlign w:val="center"/>
          </w:tcPr>
          <w:p w:rsidR="004D6274" w:rsidRDefault="004D6274">
            <w:pPr>
              <w:snapToGrid w:val="0"/>
              <w:spacing w:after="0" w:line="240" w:lineRule="auto"/>
              <w:rPr>
                <w:rFonts w:eastAsiaTheme="minorEastAsia"/>
                <w:b/>
              </w:rPr>
            </w:pPr>
          </w:p>
        </w:tc>
        <w:tc>
          <w:tcPr>
            <w:tcW w:w="0" w:type="auto"/>
            <w:vMerge/>
            <w:vAlign w:val="center"/>
          </w:tcPr>
          <w:p w:rsidR="004D6274" w:rsidRDefault="004D6274">
            <w:pPr>
              <w:snapToGrid w:val="0"/>
              <w:spacing w:after="0" w:line="240" w:lineRule="auto"/>
              <w:rPr>
                <w:rFonts w:eastAsiaTheme="minorEastAsia"/>
                <w:b/>
              </w:rPr>
            </w:pPr>
          </w:p>
        </w:tc>
        <w:tc>
          <w:tcPr>
            <w:tcW w:w="0" w:type="auto"/>
            <w:vMerge/>
            <w:vAlign w:val="center"/>
          </w:tcPr>
          <w:p w:rsidR="004D6274" w:rsidRDefault="004D6274">
            <w:pPr>
              <w:snapToGrid w:val="0"/>
              <w:spacing w:after="0" w:line="240" w:lineRule="auto"/>
              <w:rPr>
                <w:rFonts w:eastAsiaTheme="minorEastAsia"/>
                <w:b/>
              </w:rPr>
            </w:pPr>
          </w:p>
        </w:tc>
        <w:tc>
          <w:tcPr>
            <w:tcW w:w="0" w:type="auto"/>
            <w:vMerge/>
            <w:vAlign w:val="center"/>
          </w:tcPr>
          <w:p w:rsidR="004D6274" w:rsidRDefault="004D6274">
            <w:pPr>
              <w:snapToGrid w:val="0"/>
              <w:spacing w:after="0" w:line="240" w:lineRule="auto"/>
              <w:rPr>
                <w:rFonts w:eastAsiaTheme="minorEastAsia"/>
                <w:b/>
              </w:rPr>
            </w:pPr>
          </w:p>
        </w:tc>
        <w:tc>
          <w:tcPr>
            <w:tcW w:w="0" w:type="auto"/>
            <w:vMerge/>
            <w:vAlign w:val="center"/>
          </w:tcPr>
          <w:p w:rsidR="004D6274" w:rsidRDefault="004D6274">
            <w:pPr>
              <w:snapToGrid w:val="0"/>
              <w:spacing w:after="0" w:line="240" w:lineRule="auto"/>
              <w:rPr>
                <w:rFonts w:eastAsiaTheme="minorEastAsia"/>
                <w:b/>
              </w:rPr>
            </w:pPr>
          </w:p>
        </w:tc>
      </w:tr>
      <w:tr w:rsidR="004D6274">
        <w:trPr>
          <w:trHeight w:val="700"/>
        </w:trPr>
        <w:tc>
          <w:tcPr>
            <w:tcW w:w="2104" w:type="dxa"/>
            <w:vAlign w:val="center"/>
          </w:tcPr>
          <w:p w:rsidR="004D6274" w:rsidRDefault="00585D9D">
            <w:pPr>
              <w:snapToGrid w:val="0"/>
              <w:spacing w:after="0" w:line="240" w:lineRule="auto"/>
              <w:rPr>
                <w:rFonts w:eastAsiaTheme="minorEastAsia"/>
              </w:rPr>
            </w:pPr>
            <w:r>
              <w:rPr>
                <w:rFonts w:eastAsiaTheme="minorEastAsia"/>
              </w:rPr>
              <w:t>Dense Urban/Indoor Hotspot - Immersive Communication</w:t>
            </w:r>
          </w:p>
        </w:tc>
        <w:tc>
          <w:tcPr>
            <w:tcW w:w="1551" w:type="dxa"/>
            <w:vAlign w:val="center"/>
          </w:tcPr>
          <w:p w:rsidR="004D6274" w:rsidRDefault="004D6274">
            <w:pPr>
              <w:snapToGrid w:val="0"/>
              <w:spacing w:after="0" w:line="240" w:lineRule="auto"/>
              <w:rPr>
                <w:rFonts w:eastAsiaTheme="minorEastAsia"/>
              </w:rPr>
            </w:pPr>
          </w:p>
        </w:tc>
        <w:tc>
          <w:tcPr>
            <w:tcW w:w="1270" w:type="dxa"/>
            <w:vAlign w:val="center"/>
          </w:tcPr>
          <w:p w:rsidR="004D6274" w:rsidRDefault="004D6274">
            <w:pPr>
              <w:snapToGrid w:val="0"/>
              <w:spacing w:after="0" w:line="240" w:lineRule="auto"/>
              <w:rPr>
                <w:rFonts w:eastAsiaTheme="minorEastAsia"/>
              </w:rPr>
            </w:pPr>
          </w:p>
        </w:tc>
        <w:tc>
          <w:tcPr>
            <w:tcW w:w="1412" w:type="dxa"/>
            <w:vAlign w:val="center"/>
          </w:tcPr>
          <w:p w:rsidR="004D6274" w:rsidRDefault="004D6274">
            <w:pPr>
              <w:snapToGrid w:val="0"/>
              <w:spacing w:after="0" w:line="240" w:lineRule="auto"/>
              <w:rPr>
                <w:rFonts w:eastAsiaTheme="minorEastAsia"/>
              </w:rPr>
            </w:pPr>
          </w:p>
        </w:tc>
        <w:tc>
          <w:tcPr>
            <w:tcW w:w="3239" w:type="dxa"/>
            <w:vAlign w:val="center"/>
          </w:tcPr>
          <w:p w:rsidR="004D6274" w:rsidRDefault="004D6274">
            <w:pPr>
              <w:snapToGrid w:val="0"/>
              <w:spacing w:after="0" w:line="240" w:lineRule="auto"/>
              <w:rPr>
                <w:rFonts w:eastAsiaTheme="minorEastAsia"/>
              </w:rPr>
            </w:pPr>
          </w:p>
        </w:tc>
      </w:tr>
      <w:tr w:rsidR="004D6274">
        <w:trPr>
          <w:trHeight w:val="470"/>
        </w:trPr>
        <w:tc>
          <w:tcPr>
            <w:tcW w:w="2104" w:type="dxa"/>
            <w:vAlign w:val="center"/>
          </w:tcPr>
          <w:p w:rsidR="004D6274" w:rsidRDefault="00585D9D">
            <w:pPr>
              <w:snapToGrid w:val="0"/>
              <w:spacing w:after="0" w:line="240" w:lineRule="auto"/>
              <w:rPr>
                <w:rFonts w:eastAsiaTheme="minorEastAsia"/>
              </w:rPr>
            </w:pPr>
            <w:r>
              <w:rPr>
                <w:rFonts w:eastAsiaTheme="minorEastAsia"/>
              </w:rPr>
              <w:t>Dense Urban/Indoor – HRLLC</w:t>
            </w:r>
          </w:p>
        </w:tc>
        <w:tc>
          <w:tcPr>
            <w:tcW w:w="1551" w:type="dxa"/>
            <w:vAlign w:val="center"/>
          </w:tcPr>
          <w:p w:rsidR="004D6274" w:rsidRDefault="004D6274">
            <w:pPr>
              <w:snapToGrid w:val="0"/>
              <w:spacing w:after="0" w:line="240" w:lineRule="auto"/>
              <w:rPr>
                <w:rFonts w:eastAsiaTheme="minorEastAsia"/>
              </w:rPr>
            </w:pPr>
          </w:p>
        </w:tc>
        <w:tc>
          <w:tcPr>
            <w:tcW w:w="1270" w:type="dxa"/>
            <w:vAlign w:val="center"/>
          </w:tcPr>
          <w:p w:rsidR="004D6274" w:rsidRDefault="004D6274">
            <w:pPr>
              <w:snapToGrid w:val="0"/>
              <w:spacing w:after="0" w:line="240" w:lineRule="auto"/>
              <w:rPr>
                <w:rFonts w:eastAsiaTheme="minorEastAsia"/>
              </w:rPr>
            </w:pPr>
          </w:p>
        </w:tc>
        <w:tc>
          <w:tcPr>
            <w:tcW w:w="1412" w:type="dxa"/>
            <w:vAlign w:val="center"/>
          </w:tcPr>
          <w:p w:rsidR="004D6274" w:rsidRDefault="004D6274">
            <w:pPr>
              <w:snapToGrid w:val="0"/>
              <w:spacing w:after="0" w:line="240" w:lineRule="auto"/>
              <w:rPr>
                <w:rFonts w:eastAsiaTheme="minorEastAsia"/>
              </w:rPr>
            </w:pPr>
          </w:p>
        </w:tc>
        <w:tc>
          <w:tcPr>
            <w:tcW w:w="3239" w:type="dxa"/>
            <w:vAlign w:val="center"/>
          </w:tcPr>
          <w:p w:rsidR="004D6274" w:rsidRDefault="004D6274">
            <w:pPr>
              <w:snapToGrid w:val="0"/>
              <w:spacing w:after="0" w:line="240" w:lineRule="auto"/>
              <w:rPr>
                <w:rFonts w:eastAsiaTheme="minorEastAsia"/>
              </w:rPr>
            </w:pPr>
          </w:p>
        </w:tc>
      </w:tr>
    </w:tbl>
    <w:p w:rsidR="004D6274" w:rsidRDefault="004D6274">
      <w:pPr>
        <w:snapToGrid w:val="0"/>
        <w:spacing w:afterLines="50" w:after="120" w:line="240" w:lineRule="auto"/>
        <w:rPr>
          <w:rFonts w:eastAsiaTheme="minorEastAsia"/>
        </w:rPr>
      </w:pPr>
    </w:p>
    <w:p w:rsidR="004D6274" w:rsidRDefault="00585D9D">
      <w:pPr>
        <w:snapToGrid w:val="0"/>
        <w:outlineLvl w:val="2"/>
        <w:rPr>
          <w:rFonts w:eastAsiaTheme="minorEastAsia"/>
          <w:b/>
          <w:sz w:val="21"/>
        </w:rPr>
      </w:pPr>
      <w:r>
        <w:rPr>
          <w:rFonts w:eastAsiaTheme="minorEastAsia" w:hint="eastAsia"/>
          <w:b/>
          <w:sz w:val="21"/>
        </w:rPr>
        <w:t>2</w:t>
      </w:r>
      <w:r>
        <w:rPr>
          <w:rFonts w:eastAsiaTheme="minorEastAsia"/>
          <w:b/>
          <w:sz w:val="21"/>
        </w:rPr>
        <w:t>.1.2 Energy efficiency</w:t>
      </w:r>
    </w:p>
    <w:p w:rsidR="004D6274" w:rsidRDefault="00585D9D">
      <w:pPr>
        <w:snapToGrid w:val="0"/>
        <w:spacing w:beforeLines="50" w:before="120" w:afterLines="50" w:after="120" w:line="240" w:lineRule="auto"/>
        <w:jc w:val="both"/>
        <w:rPr>
          <w:rFonts w:eastAsiaTheme="minorEastAsia"/>
          <w:lang w:val="en-GB"/>
        </w:rPr>
      </w:pPr>
      <w:r>
        <w:rPr>
          <w:rFonts w:eastAsiaTheme="minorEastAsia"/>
          <w:lang w:val="en-GB"/>
        </w:rPr>
        <w:t>Energy efficiency instead of sustainability can be listed as a TPR. W</w:t>
      </w:r>
      <w:r>
        <w:rPr>
          <w:rFonts w:eastAsiaTheme="minorEastAsia" w:hint="eastAsia"/>
          <w:lang w:val="en-GB"/>
        </w:rPr>
        <w:t>e</w:t>
      </w:r>
      <w:r>
        <w:rPr>
          <w:rFonts w:eastAsiaTheme="minorEastAsia"/>
          <w:lang w:val="en-GB"/>
        </w:rPr>
        <w:t xml:space="preserve"> understand that sustainability is a foundational aspiration of future IMT systems and energy efficiency is only one part of sustainability. But the concept of sustainability is too broad and hard to define corresponding TPR (e.g., the capability of network or UE to minimize greenhouse gas emission to address climate change). We prefer to only keep energy efficiency as a TPR and apply </w:t>
      </w:r>
      <w:r>
        <w:rPr>
          <w:rFonts w:eastAsiaTheme="minorEastAsia"/>
          <w:lang w:val="en-GB"/>
        </w:rPr>
        <w:lastRenderedPageBreak/>
        <w:t>similar wording as Working document towards a preliminary draft new Report ITU-R M.[IMT-2030.TECH PERF REQ] to address concerns on sustainability: “Energy efficiency is an important metric of sustainability.”.</w:t>
      </w:r>
    </w:p>
    <w:p w:rsidR="004D6274" w:rsidRDefault="00585D9D">
      <w:pPr>
        <w:snapToGrid w:val="0"/>
        <w:spacing w:beforeLines="50" w:before="120" w:afterLines="50" w:after="120" w:line="240" w:lineRule="auto"/>
        <w:jc w:val="both"/>
        <w:rPr>
          <w:rFonts w:eastAsiaTheme="minorEastAsia"/>
        </w:rPr>
      </w:pPr>
      <w:r>
        <w:rPr>
          <w:rFonts w:eastAsiaTheme="minorEastAsia" w:hint="eastAsia"/>
        </w:rPr>
        <w:t>I</w:t>
      </w:r>
      <w:r>
        <w:rPr>
          <w:rFonts w:eastAsiaTheme="minorEastAsia"/>
        </w:rPr>
        <w:t>n IMT-2020, energy efficiency of the network and the device can relate to the support for two aspects: a) Efficient data transmission in a loaded case (demonstrated by the average spectral efficiency); b) Low energy consumption where there is no data (estimated by sleep ratio). However, the sleep ratio and/or sleep duration can not fully represent the energy consumption of the network/UE, and the energy consumption of a network/UE varies in different states (e.g., active, deep sleep, light sleep, micro sleep), also average spectral efficiency cannot indicate the energy consumption.  Similar as energy saving study using power model in TR 38.864 and TR 38.840, a quantitative energy efficiency TPR using power model can be introduced for IMT-2030 network and device.</w:t>
      </w:r>
    </w:p>
    <w:p w:rsidR="004D6274" w:rsidRDefault="00585D9D">
      <w:pPr>
        <w:snapToGrid w:val="0"/>
        <w:spacing w:beforeLines="50" w:before="120" w:afterLines="50" w:after="120" w:line="240" w:lineRule="auto"/>
        <w:jc w:val="both"/>
        <w:rPr>
          <w:rFonts w:eastAsiaTheme="minorEastAsia"/>
        </w:rPr>
      </w:pPr>
      <w:r>
        <w:rPr>
          <w:rFonts w:eastAsiaTheme="minorEastAsia" w:hint="eastAsia"/>
        </w:rPr>
        <w:t>D</w:t>
      </w:r>
      <w:r>
        <w:rPr>
          <w:rFonts w:eastAsiaTheme="minorEastAsia"/>
        </w:rPr>
        <w:t>etails can refer to ITU-R Document 5D/459-E,</w:t>
      </w:r>
      <w:r>
        <w:rPr>
          <w:rFonts w:eastAsiaTheme="minorEastAsia" w:hint="eastAsia"/>
        </w:rPr>
        <w:t xml:space="preserve"> </w:t>
      </w:r>
      <w:r>
        <w:rPr>
          <w:rFonts w:eastAsia="宋体"/>
          <w:szCs w:val="20"/>
          <w:lang w:val="en-GB" w:eastAsia="en-US"/>
        </w:rPr>
        <w:t xml:space="preserve">the </w:t>
      </w:r>
      <m:oMath>
        <m:r>
          <w:rPr>
            <w:rFonts w:ascii="Cambria Math" w:eastAsia="宋体" w:hAnsi="Cambria Math"/>
            <w:szCs w:val="20"/>
            <w:lang w:val="en-GB" w:eastAsia="en-US"/>
          </w:rPr>
          <m:t>E</m:t>
        </m:r>
      </m:oMath>
      <w:r>
        <w:rPr>
          <w:rFonts w:eastAsia="宋体"/>
          <w:szCs w:val="20"/>
          <w:lang w:val="en-GB"/>
        </w:rPr>
        <w:t>(</w:t>
      </w:r>
      <w:r>
        <w:rPr>
          <w:rFonts w:eastAsia="宋体"/>
          <w:szCs w:val="20"/>
          <w:lang w:val="en-GB" w:eastAsia="en-US"/>
        </w:rPr>
        <w:t>energy consumption</w:t>
      </w:r>
      <w:r>
        <w:rPr>
          <w:rFonts w:eastAsia="宋体"/>
          <w:szCs w:val="20"/>
          <w:lang w:val="en-GB"/>
        </w:rPr>
        <w:t>)</w:t>
      </w:r>
      <w:r>
        <w:rPr>
          <w:rFonts w:eastAsia="宋体"/>
          <w:szCs w:val="20"/>
          <w:lang w:val="en-GB" w:eastAsia="en-US"/>
        </w:rPr>
        <w:t xml:space="preserve"> could be defined as average energy consumption during the observation time.</w:t>
      </w:r>
    </w:p>
    <w:p w:rsidR="004D6274" w:rsidRDefault="00585D9D">
      <w:pPr>
        <w:tabs>
          <w:tab w:val="left" w:pos="1134"/>
          <w:tab w:val="left" w:pos="1871"/>
          <w:tab w:val="left" w:pos="2268"/>
        </w:tabs>
        <w:overflowPunct w:val="0"/>
        <w:autoSpaceDE w:val="0"/>
        <w:autoSpaceDN w:val="0"/>
        <w:adjustRightInd w:val="0"/>
        <w:snapToGrid w:val="0"/>
        <w:spacing w:beforeLines="50" w:before="120" w:afterLines="50" w:after="120" w:line="240" w:lineRule="auto"/>
        <w:jc w:val="center"/>
        <w:textAlignment w:val="baseline"/>
        <w:rPr>
          <w:rFonts w:eastAsia="宋体"/>
          <w:szCs w:val="20"/>
          <w:lang w:val="en-GB" w:eastAsia="en-US"/>
        </w:rPr>
      </w:pPr>
      <m:oMath>
        <m:r>
          <w:rPr>
            <w:rFonts w:ascii="Cambria Math" w:eastAsia="宋体" w:hAnsi="Cambria Math"/>
            <w:szCs w:val="20"/>
            <w:lang w:val="en-GB" w:eastAsia="en-US"/>
          </w:rPr>
          <m:t>E</m:t>
        </m:r>
        <m:r>
          <m:rPr>
            <m:sty m:val="p"/>
          </m:rPr>
          <w:rPr>
            <w:rFonts w:ascii="Cambria Math" w:eastAsia="宋体" w:hAnsi="Cambria Math"/>
            <w:szCs w:val="20"/>
            <w:lang w:val="en-GB" w:eastAsia="en-US"/>
          </w:rPr>
          <m:t>=</m:t>
        </m:r>
        <m:f>
          <m:fPr>
            <m:ctrlPr>
              <w:rPr>
                <w:rFonts w:ascii="Cambria Math" w:eastAsia="宋体" w:hAnsi="Cambria Math"/>
                <w:szCs w:val="20"/>
                <w:lang w:val="en-GB" w:eastAsia="en-US"/>
              </w:rPr>
            </m:ctrlPr>
          </m:fPr>
          <m:num>
            <m:nary>
              <m:naryPr>
                <m:chr m:val="∑"/>
                <m:grow m:val="1"/>
                <m:ctrlPr>
                  <w:rPr>
                    <w:rFonts w:ascii="Cambria Math" w:eastAsia="宋体" w:hAnsi="Cambria Math"/>
                    <w:szCs w:val="20"/>
                    <w:lang w:val="en-GB" w:eastAsia="en-US"/>
                  </w:rPr>
                </m:ctrlPr>
              </m:naryPr>
              <m:sub>
                <m:r>
                  <w:rPr>
                    <w:rFonts w:ascii="Cambria Math" w:eastAsia="宋体" w:hAnsi="Cambria Math"/>
                    <w:szCs w:val="20"/>
                    <w:lang w:val="en-GB" w:eastAsia="en-US"/>
                  </w:rPr>
                  <m:t>i</m:t>
                </m:r>
                <m:r>
                  <m:rPr>
                    <m:sty m:val="p"/>
                  </m:rPr>
                  <w:rPr>
                    <w:rFonts w:ascii="Cambria Math" w:eastAsia="宋体" w:hAnsi="Cambria Math"/>
                    <w:szCs w:val="20"/>
                    <w:lang w:val="en-GB" w:eastAsia="en-US"/>
                  </w:rPr>
                  <m:t>=0</m:t>
                </m:r>
              </m:sub>
              <m:sup>
                <m:r>
                  <w:rPr>
                    <w:rFonts w:ascii="Cambria Math" w:eastAsia="宋体" w:hAnsi="Cambria Math"/>
                    <w:szCs w:val="20"/>
                    <w:lang w:val="en-GB" w:eastAsia="en-US"/>
                  </w:rPr>
                  <m:t>n</m:t>
                </m:r>
              </m:sup>
              <m:e>
                <m:sSub>
                  <m:sSubPr>
                    <m:ctrlPr>
                      <w:rPr>
                        <w:rFonts w:ascii="Cambria Math" w:eastAsia="宋体" w:hAnsi="Cambria Math"/>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i</m:t>
                    </m:r>
                  </m:sub>
                </m:sSub>
              </m:e>
            </m:nary>
          </m:num>
          <m:den>
            <m:sSub>
              <m:sSubPr>
                <m:ctrlPr>
                  <w:rPr>
                    <w:rFonts w:ascii="Cambria Math" w:eastAsia="宋体" w:hAnsi="Cambria Math"/>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total</m:t>
                </m:r>
              </m:sub>
            </m:sSub>
          </m:den>
        </m:f>
        <m:r>
          <m:rPr>
            <m:sty m:val="p"/>
          </m:rPr>
          <w:rPr>
            <w:rFonts w:ascii="Cambria Math" w:eastAsia="宋体" w:hAnsi="Cambria Math"/>
            <w:szCs w:val="20"/>
            <w:lang w:val="en-GB" w:eastAsia="en-US"/>
          </w:rPr>
          <m:t>=</m:t>
        </m:r>
        <m:f>
          <m:fPr>
            <m:ctrlPr>
              <w:rPr>
                <w:rFonts w:ascii="Cambria Math" w:eastAsia="宋体" w:hAnsi="Cambria Math"/>
                <w:szCs w:val="20"/>
                <w:lang w:val="en-GB" w:eastAsia="en-US"/>
              </w:rPr>
            </m:ctrlPr>
          </m:fPr>
          <m:num>
            <m:r>
              <m:rPr>
                <m:sty m:val="p"/>
              </m:rPr>
              <w:rPr>
                <w:rFonts w:ascii="Cambria Math" w:eastAsia="MS Mincho" w:hAnsi="Cambria Math"/>
                <w:szCs w:val="20"/>
                <w:lang w:val="en-GB" w:eastAsia="en-US"/>
              </w:rPr>
              <m:t>（</m:t>
            </m:r>
            <m:sSub>
              <m:sSubPr>
                <m:ctrlPr>
                  <w:rPr>
                    <w:rFonts w:ascii="Cambria Math" w:eastAsia="宋体" w:hAnsi="Cambria Math"/>
                    <w:szCs w:val="20"/>
                    <w:lang w:val="en-GB" w:eastAsia="en-US"/>
                  </w:rPr>
                </m:ctrlPr>
              </m:sSubPr>
              <m:e>
                <m:sSub>
                  <m:sSubPr>
                    <m:ctrlPr>
                      <w:rPr>
                        <w:rFonts w:ascii="Cambria Math" w:eastAsia="宋体" w:hAnsi="Cambria Math"/>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on</m:t>
                    </m:r>
                  </m:sub>
                </m:sSub>
                <m:r>
                  <m:rPr>
                    <m:sty m:val="p"/>
                  </m:rPr>
                  <w:rPr>
                    <w:rFonts w:ascii="Cambria Math" w:eastAsia="宋体" w:hAnsi="Cambria Math"/>
                    <w:szCs w:val="20"/>
                    <w:lang w:val="en-GB" w:eastAsia="en-US"/>
                  </w:rPr>
                  <m:t>+</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off</m:t>
                    </m:r>
                  </m:sub>
                </m:sSub>
                <m:r>
                  <m:rPr>
                    <m:sty m:val="p"/>
                  </m:rPr>
                  <w:rPr>
                    <w:rFonts w:ascii="Cambria Math" w:eastAsia="宋体" w:hAnsi="Cambria Math"/>
                    <w:szCs w:val="20"/>
                    <w:lang w:val="en-GB" w:eastAsia="en-US"/>
                  </w:rPr>
                  <m:t>+</m:t>
                </m:r>
                <m:r>
                  <w:rPr>
                    <w:rFonts w:ascii="Cambria Math" w:eastAsia="宋体" w:hAnsi="Cambria Math"/>
                    <w:szCs w:val="20"/>
                    <w:lang w:val="en-GB" w:eastAsia="en-US"/>
                  </w:rPr>
                  <m:t>E</m:t>
                </m:r>
              </m:e>
              <m:sub>
                <m:r>
                  <w:rPr>
                    <w:rFonts w:ascii="Cambria Math" w:eastAsia="宋体" w:hAnsi="Cambria Math"/>
                    <w:szCs w:val="20"/>
                    <w:lang w:val="en-GB" w:eastAsia="en-US"/>
                  </w:rPr>
                  <m:t>transition</m:t>
                </m:r>
              </m:sub>
            </m:sSub>
            <m:r>
              <m:rPr>
                <m:sty m:val="p"/>
              </m:rPr>
              <w:rPr>
                <w:rFonts w:ascii="Cambria Math" w:eastAsia="MS Mincho" w:hAnsi="Cambria Math"/>
                <w:szCs w:val="20"/>
                <w:lang w:val="en-GB" w:eastAsia="en-US"/>
              </w:rPr>
              <m:t>）</m:t>
            </m:r>
          </m:num>
          <m:den>
            <m:sSub>
              <m:sSubPr>
                <m:ctrlPr>
                  <w:rPr>
                    <w:rFonts w:ascii="Cambria Math" w:eastAsia="宋体" w:hAnsi="Cambria Math"/>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total</m:t>
                </m:r>
              </m:sub>
            </m:sSub>
          </m:den>
        </m:f>
        <m:r>
          <w:rPr>
            <w:rFonts w:ascii="Cambria Math" w:eastAsia="宋体" w:hAnsi="Cambria Math"/>
            <w:szCs w:val="20"/>
            <w:lang w:val="en-GB" w:eastAsia="en-US"/>
          </w:rPr>
          <m:t>=</m:t>
        </m:r>
        <m:f>
          <m:fPr>
            <m:ctrlPr>
              <w:rPr>
                <w:rFonts w:ascii="Cambria Math" w:eastAsia="宋体" w:hAnsi="Cambria Math"/>
                <w:i/>
                <w:iCs/>
                <w:szCs w:val="20"/>
                <w:lang w:val="en-GB" w:eastAsia="en-US"/>
              </w:rPr>
            </m:ctrlPr>
          </m:fPr>
          <m:num>
            <m:sSub>
              <m:sSubPr>
                <m:ctrlPr>
                  <w:rPr>
                    <w:rFonts w:ascii="Cambria Math" w:eastAsia="宋体" w:hAnsi="Cambria Math"/>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on</m:t>
                </m:r>
              </m:sub>
            </m:sSub>
            <m:r>
              <m:rPr>
                <m:sty m:val="p"/>
              </m:rPr>
              <w:rPr>
                <w:rFonts w:ascii="Cambria Math" w:eastAsia="宋体" w:hAnsi="Cambria Math"/>
                <w:szCs w:val="20"/>
                <w:lang w:val="en-GB" w:eastAsia="en-US"/>
              </w:rPr>
              <m:t xml:space="preserve"> ×</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on</m:t>
                </m:r>
              </m:sub>
            </m:sSub>
            <m:r>
              <m:rPr>
                <m:sty m:val="p"/>
              </m:rPr>
              <w:rPr>
                <w:rFonts w:ascii="Cambria Math" w:eastAsia="宋体" w:hAnsi="Cambria Math"/>
                <w:szCs w:val="20"/>
                <w:lang w:val="en-GB" w:eastAsia="en-US"/>
              </w:rPr>
              <m:t xml:space="preserve"> + </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off</m:t>
                </m:r>
              </m:sub>
            </m:sSub>
            <m:r>
              <m:rPr>
                <m:sty m:val="p"/>
              </m:rPr>
              <w:rPr>
                <w:rFonts w:ascii="Cambria Math" w:eastAsia="宋体" w:hAnsi="Cambria Math"/>
                <w:szCs w:val="20"/>
                <w:lang w:val="en-GB" w:eastAsia="en-US"/>
              </w:rPr>
              <m:t xml:space="preserve"> ×</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off</m:t>
                </m:r>
              </m:sub>
            </m:sSub>
            <m:r>
              <m:rPr>
                <m:sty m:val="p"/>
              </m:rPr>
              <w:rPr>
                <w:rFonts w:ascii="Cambria Math" w:eastAsia="宋体" w:hAnsi="Cambria Math"/>
                <w:szCs w:val="20"/>
                <w:lang w:val="en-GB" w:eastAsia="en-US"/>
              </w:rPr>
              <m:t>+</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transition</m:t>
                </m:r>
              </m:sub>
            </m:sSub>
            <m:r>
              <m:rPr>
                <m:sty m:val="p"/>
              </m:rPr>
              <w:rPr>
                <w:rFonts w:ascii="Cambria Math" w:eastAsia="宋体" w:hAnsi="Cambria Math"/>
                <w:szCs w:val="20"/>
                <w:lang w:val="en-GB" w:eastAsia="en-US"/>
              </w:rPr>
              <m:t xml:space="preserve"> ×</m:t>
            </m:r>
            <m:sSub>
              <m:sSubPr>
                <m:ctrlPr>
                  <w:rPr>
                    <w:rFonts w:ascii="Cambria Math" w:eastAsia="宋体" w:hAnsi="Cambria Math"/>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transition</m:t>
                </m:r>
              </m:sub>
            </m:sSub>
          </m:num>
          <m:den>
            <m:sSub>
              <m:sSubPr>
                <m:ctrlPr>
                  <w:rPr>
                    <w:rFonts w:ascii="Cambria Math" w:eastAsia="宋体" w:hAnsi="Cambria Math"/>
                    <w:i/>
                    <w:iCs/>
                    <w:szCs w:val="20"/>
                    <w:lang w:val="en-GB" w:eastAsia="en-US"/>
                  </w:rPr>
                </m:ctrlPr>
              </m:sSubPr>
              <m:e>
                <m:r>
                  <m:rPr>
                    <m:sty m:val="p"/>
                  </m:rPr>
                  <w:rPr>
                    <w:rFonts w:ascii="Cambria Math" w:eastAsia="宋体" w:hAnsi="Cambria Math"/>
                    <w:szCs w:val="20"/>
                    <w:lang w:val="en-GB" w:eastAsia="en-US"/>
                  </w:rPr>
                  <m:t>T</m:t>
                </m:r>
              </m:e>
              <m:sub>
                <m:r>
                  <m:rPr>
                    <m:sty m:val="p"/>
                  </m:rPr>
                  <w:rPr>
                    <w:rFonts w:ascii="Cambria Math" w:eastAsia="宋体" w:hAnsi="Cambria Math"/>
                    <w:szCs w:val="20"/>
                    <w:lang w:val="en-GB" w:eastAsia="en-US"/>
                  </w:rPr>
                  <m:t>total</m:t>
                </m:r>
              </m:sub>
            </m:sSub>
          </m:den>
        </m:f>
      </m:oMath>
      <w:r>
        <w:rPr>
          <w:rFonts w:eastAsia="宋体"/>
          <w:szCs w:val="20"/>
          <w:lang w:val="en-GB" w:eastAsia="en-US"/>
        </w:rPr>
        <w:t xml:space="preserve"> (in energy unit/time unit)</w:t>
      </w:r>
    </w:p>
    <w:p w:rsidR="004D6274" w:rsidRDefault="00585D9D">
      <w:pPr>
        <w:tabs>
          <w:tab w:val="left" w:pos="1134"/>
          <w:tab w:val="left" w:pos="1871"/>
          <w:tab w:val="left" w:pos="2268"/>
        </w:tabs>
        <w:overflowPunct w:val="0"/>
        <w:autoSpaceDE w:val="0"/>
        <w:autoSpaceDN w:val="0"/>
        <w:adjustRightInd w:val="0"/>
        <w:snapToGrid w:val="0"/>
        <w:spacing w:beforeLines="50" w:before="120" w:afterLines="50" w:after="120" w:line="240" w:lineRule="auto"/>
        <w:jc w:val="both"/>
        <w:textAlignment w:val="baseline"/>
        <w:rPr>
          <w:rFonts w:eastAsia="宋体"/>
          <w:szCs w:val="20"/>
          <w:lang w:val="en-GB" w:eastAsia="en-US"/>
        </w:rPr>
      </w:pPr>
      <m:oMath>
        <m:sSub>
          <m:sSubPr>
            <m:ctrlPr>
              <w:rPr>
                <w:rFonts w:ascii="Cambria Math" w:eastAsia="宋体" w:hAnsi="Cambria Math"/>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i</m:t>
            </m:r>
          </m:sub>
        </m:sSub>
      </m:oMath>
      <w:r>
        <w:rPr>
          <w:rFonts w:eastAsia="宋体"/>
          <w:szCs w:val="20"/>
          <w:lang w:val="en-GB" w:eastAsia="en-US"/>
        </w:rPr>
        <w:t xml:space="preserve"> (in energy unit) is the energy computation category at network or device for transmission and/or reception in loaded and unloaded cases; As an illustration, it is assumed at least three energy consumption categories: </w:t>
      </w:r>
    </w:p>
    <w:p w:rsidR="004D6274" w:rsidRDefault="00585D9D">
      <w:pPr>
        <w:tabs>
          <w:tab w:val="right" w:pos="1871"/>
          <w:tab w:val="left" w:pos="2041"/>
        </w:tabs>
        <w:overflowPunct w:val="0"/>
        <w:autoSpaceDE w:val="0"/>
        <w:autoSpaceDN w:val="0"/>
        <w:adjustRightInd w:val="0"/>
        <w:snapToGrid w:val="0"/>
        <w:spacing w:beforeLines="50" w:before="120" w:afterLines="50" w:after="120" w:line="240" w:lineRule="auto"/>
        <w:jc w:val="both"/>
        <w:textAlignment w:val="baseline"/>
        <w:rPr>
          <w:rFonts w:eastAsia="宋体"/>
          <w:szCs w:val="20"/>
          <w:lang w:val="en-GB" w:eastAsia="en-US"/>
        </w:rPr>
      </w:pP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on</m:t>
            </m:r>
          </m:sub>
        </m:sSub>
      </m:oMath>
      <w:r>
        <w:rPr>
          <w:rFonts w:eastAsia="宋体"/>
          <w:szCs w:val="20"/>
          <w:lang w:val="en-GB" w:eastAsia="en-US"/>
        </w:rPr>
        <w:t xml:space="preserve"> </w:t>
      </w:r>
      <w:r>
        <w:rPr>
          <w:rFonts w:eastAsia="宋体"/>
          <w:szCs w:val="20"/>
          <w:lang w:val="en-GB" w:eastAsia="en-US"/>
        </w:rPr>
        <w:tab/>
        <w:t xml:space="preserve">is the energy consumption for active transmission and/or reception at the network or device during the observation/evaluation time.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on</m:t>
            </m:r>
          </m:sub>
        </m:sSub>
      </m:oMath>
      <w:r>
        <w:rPr>
          <w:rFonts w:eastAsia="宋体"/>
          <w:szCs w:val="20"/>
          <w:lang w:val="en-GB" w:eastAsia="en-US"/>
        </w:rPr>
        <w:t xml:space="preserve"> denotes the power consumed at network or device during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on</m:t>
            </m:r>
          </m:sub>
        </m:sSub>
      </m:oMath>
      <w:r>
        <w:rPr>
          <w:rFonts w:eastAsia="宋体"/>
          <w:szCs w:val="20"/>
          <w:lang w:val="en-GB" w:eastAsia="en-US"/>
        </w:rPr>
        <w:t xml:space="preserve"> </w:t>
      </w:r>
      <w:r>
        <w:rPr>
          <w:rFonts w:eastAsia="宋体" w:hint="eastAsia"/>
          <w:szCs w:val="20"/>
        </w:rPr>
        <w:t>wherein</w:t>
      </w:r>
      <w:r>
        <w:rPr>
          <w:rFonts w:eastAsia="宋体"/>
          <w:szCs w:val="20"/>
          <w:lang w:val="en-GB" w:eastAsia="en-US"/>
        </w:rPr>
        <w:t xml:space="preserve">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on</m:t>
            </m:r>
          </m:sub>
        </m:sSub>
      </m:oMath>
      <w:r>
        <w:rPr>
          <w:rFonts w:eastAsia="宋体"/>
          <w:szCs w:val="20"/>
          <w:lang w:val="en-GB" w:eastAsia="en-US"/>
        </w:rPr>
        <w:t xml:space="preserve"> is the time for the transmission and/or reception.</w:t>
      </w:r>
    </w:p>
    <w:p w:rsidR="004D6274" w:rsidRDefault="00585D9D">
      <w:pPr>
        <w:tabs>
          <w:tab w:val="right" w:pos="1871"/>
          <w:tab w:val="left" w:pos="2041"/>
        </w:tabs>
        <w:overflowPunct w:val="0"/>
        <w:autoSpaceDE w:val="0"/>
        <w:autoSpaceDN w:val="0"/>
        <w:adjustRightInd w:val="0"/>
        <w:snapToGrid w:val="0"/>
        <w:spacing w:beforeLines="50" w:before="120" w:afterLines="50" w:after="120" w:line="240" w:lineRule="auto"/>
        <w:jc w:val="both"/>
        <w:textAlignment w:val="baseline"/>
        <w:rPr>
          <w:rFonts w:eastAsia="宋体"/>
          <w:szCs w:val="20"/>
          <w:lang w:val="en-GB" w:eastAsia="en-US"/>
        </w:rPr>
      </w:pP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off</m:t>
            </m:r>
          </m:sub>
        </m:sSub>
      </m:oMath>
      <w:r>
        <w:rPr>
          <w:rFonts w:eastAsia="宋体"/>
          <w:szCs w:val="20"/>
          <w:lang w:val="en-GB" w:eastAsia="en-US"/>
        </w:rPr>
        <w:t xml:space="preserve"> </w:t>
      </w:r>
      <w:r>
        <w:rPr>
          <w:rFonts w:eastAsia="宋体"/>
          <w:szCs w:val="20"/>
          <w:lang w:val="en-GB" w:eastAsia="en-US"/>
        </w:rPr>
        <w:tab/>
        <w:t xml:space="preserve">is the energy consumption at network or device when there is no transmission and/or reception.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off</m:t>
            </m:r>
          </m:sub>
        </m:sSub>
      </m:oMath>
      <w:r>
        <w:rPr>
          <w:rFonts w:eastAsia="宋体"/>
          <w:szCs w:val="20"/>
          <w:lang w:val="en-GB" w:eastAsia="en-US"/>
        </w:rPr>
        <w:t xml:space="preserve"> denotes the power consumed at network or device during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off</m:t>
            </m:r>
          </m:sub>
        </m:sSub>
      </m:oMath>
      <w:r>
        <w:rPr>
          <w:rFonts w:eastAsia="宋体"/>
          <w:szCs w:val="20"/>
          <w:lang w:val="en-GB" w:eastAsia="en-US"/>
        </w:rPr>
        <w:t xml:space="preserve"> </w:t>
      </w:r>
      <w:r>
        <w:rPr>
          <w:rFonts w:eastAsia="宋体" w:hint="eastAsia"/>
          <w:szCs w:val="20"/>
        </w:rPr>
        <w:t>wherein</w:t>
      </w:r>
      <w:r>
        <w:rPr>
          <w:rFonts w:eastAsia="宋体"/>
          <w:szCs w:val="20"/>
          <w:lang w:val="en-GB" w:eastAsia="en-US"/>
        </w:rPr>
        <w:t xml:space="preserve">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off</m:t>
            </m:r>
          </m:sub>
        </m:sSub>
      </m:oMath>
      <w:r>
        <w:rPr>
          <w:rFonts w:eastAsia="宋体"/>
          <w:szCs w:val="20"/>
          <w:lang w:val="en-GB" w:eastAsia="en-US"/>
        </w:rPr>
        <w:t xml:space="preserve"> is the time without transmission or reception.</w:t>
      </w:r>
    </w:p>
    <w:p w:rsidR="004D6274" w:rsidRDefault="00585D9D">
      <w:pPr>
        <w:tabs>
          <w:tab w:val="right" w:pos="1871"/>
          <w:tab w:val="left" w:pos="2041"/>
        </w:tabs>
        <w:overflowPunct w:val="0"/>
        <w:autoSpaceDE w:val="0"/>
        <w:autoSpaceDN w:val="0"/>
        <w:adjustRightInd w:val="0"/>
        <w:snapToGrid w:val="0"/>
        <w:spacing w:beforeLines="50" w:before="120" w:afterLines="50" w:after="120" w:line="240" w:lineRule="auto"/>
        <w:jc w:val="both"/>
        <w:textAlignment w:val="baseline"/>
        <w:rPr>
          <w:rFonts w:eastAsia="宋体"/>
          <w:szCs w:val="20"/>
          <w:lang w:val="en-GB" w:eastAsia="en-US"/>
        </w:rPr>
      </w:pP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E</m:t>
            </m:r>
          </m:e>
          <m:sub>
            <m:r>
              <w:rPr>
                <w:rFonts w:ascii="Cambria Math" w:eastAsia="宋体" w:hAnsi="Cambria Math"/>
                <w:szCs w:val="20"/>
                <w:lang w:val="en-GB" w:eastAsia="en-US"/>
              </w:rPr>
              <m:t>transition</m:t>
            </m:r>
          </m:sub>
        </m:sSub>
      </m:oMath>
      <w:r>
        <w:rPr>
          <w:rFonts w:eastAsia="宋体"/>
          <w:szCs w:val="20"/>
          <w:lang w:val="en-GB" w:eastAsia="en-US"/>
        </w:rPr>
        <w:t xml:space="preserve"> </w:t>
      </w:r>
      <w:r>
        <w:rPr>
          <w:rFonts w:eastAsia="宋体"/>
          <w:szCs w:val="20"/>
          <w:lang w:val="en-GB" w:eastAsia="en-US"/>
        </w:rPr>
        <w:tab/>
        <w:t>is the energy consumption at network or device during transition between on and off.</w:t>
      </w:r>
    </w:p>
    <w:p w:rsidR="004D6274" w:rsidRDefault="00585D9D">
      <w:pPr>
        <w:snapToGrid w:val="0"/>
        <w:spacing w:beforeLines="50" w:before="120" w:afterLines="50" w:after="120" w:line="240" w:lineRule="auto"/>
        <w:jc w:val="both"/>
        <w:rPr>
          <w:rFonts w:eastAsia="宋体"/>
          <w:szCs w:val="20"/>
          <w:lang w:val="en-GB" w:eastAsia="en-US"/>
        </w:rPr>
      </w:pP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total</m:t>
            </m:r>
          </m:sub>
        </m:sSub>
      </m:oMath>
      <w:r>
        <w:rPr>
          <w:rFonts w:eastAsia="宋体"/>
          <w:szCs w:val="20"/>
          <w:lang w:val="en-GB" w:eastAsia="en-US"/>
        </w:rPr>
        <w:t xml:space="preserve"> (in time unit)</w:t>
      </w:r>
      <w:r>
        <w:rPr>
          <w:rFonts w:eastAsia="宋体"/>
          <w:szCs w:val="20"/>
          <w:lang w:val="en-GB" w:eastAsia="en-US"/>
        </w:rPr>
        <w:tab/>
        <w:t>is the total observation/evaluation time.</w:t>
      </w:r>
    </w:p>
    <w:p w:rsidR="004D6274" w:rsidRDefault="00585D9D">
      <w:pPr>
        <w:snapToGrid w:val="0"/>
        <w:spacing w:beforeLines="50" w:before="120" w:afterLines="50" w:after="120" w:line="240" w:lineRule="auto"/>
        <w:jc w:val="both"/>
        <w:rPr>
          <w:rFonts w:eastAsiaTheme="minorEastAsia"/>
        </w:rPr>
      </w:pPr>
      <w:r>
        <w:rPr>
          <w:rFonts w:eastAsia="宋体"/>
          <w:szCs w:val="20"/>
          <w:lang w:val="en-GB" w:eastAsia="en-US"/>
        </w:rPr>
        <w:t xml:space="preserve">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P</m:t>
            </m:r>
          </m:e>
          <m:sub>
            <m:r>
              <w:rPr>
                <w:rFonts w:ascii="Cambria Math" w:eastAsia="宋体" w:hAnsi="Cambria Math"/>
                <w:szCs w:val="20"/>
                <w:lang w:val="en-GB" w:eastAsia="en-US"/>
              </w:rPr>
              <m:t>transition</m:t>
            </m:r>
          </m:sub>
        </m:sSub>
      </m:oMath>
      <w:r>
        <w:rPr>
          <w:rFonts w:eastAsia="宋体"/>
          <w:i/>
          <w:szCs w:val="20"/>
          <w:lang w:val="en-GB" w:eastAsia="en-US"/>
        </w:rPr>
        <w:t xml:space="preserve"> </w:t>
      </w:r>
      <w:r>
        <w:rPr>
          <w:rFonts w:eastAsia="宋体"/>
          <w:szCs w:val="20"/>
          <w:lang w:val="en-GB" w:eastAsia="en-US"/>
        </w:rPr>
        <w:t xml:space="preserve">denotes the power consumed at network or device during transition and </w:t>
      </w:r>
      <m:oMath>
        <m:sSub>
          <m:sSubPr>
            <m:ctrlPr>
              <w:rPr>
                <w:rFonts w:ascii="Cambria Math" w:eastAsia="宋体" w:hAnsi="Cambria Math"/>
                <w:i/>
                <w:szCs w:val="20"/>
                <w:lang w:val="en-GB" w:eastAsia="en-US"/>
              </w:rPr>
            </m:ctrlPr>
          </m:sSubPr>
          <m:e>
            <m:r>
              <w:rPr>
                <w:rFonts w:ascii="Cambria Math" w:eastAsia="宋体" w:hAnsi="Cambria Math"/>
                <w:szCs w:val="20"/>
                <w:lang w:val="en-GB" w:eastAsia="en-US"/>
              </w:rPr>
              <m:t>T</m:t>
            </m:r>
          </m:e>
          <m:sub>
            <m:r>
              <w:rPr>
                <w:rFonts w:ascii="Cambria Math" w:eastAsia="宋体" w:hAnsi="Cambria Math"/>
                <w:szCs w:val="20"/>
                <w:lang w:val="en-GB" w:eastAsia="en-US"/>
              </w:rPr>
              <m:t>transition</m:t>
            </m:r>
          </m:sub>
        </m:sSub>
      </m:oMath>
      <w:r>
        <w:rPr>
          <w:rFonts w:eastAsia="宋体"/>
          <w:szCs w:val="20"/>
          <w:lang w:val="en-GB" w:eastAsia="en-US"/>
        </w:rPr>
        <w:t xml:space="preserve"> is the total transition time.</w:t>
      </w:r>
    </w:p>
    <w:p w:rsidR="004D6274" w:rsidRDefault="00585D9D">
      <w:pPr>
        <w:pStyle w:val="aff0"/>
        <w:numPr>
          <w:ilvl w:val="0"/>
          <w:numId w:val="14"/>
        </w:numPr>
        <w:snapToGrid w:val="0"/>
        <w:spacing w:beforeLines="50" w:before="120" w:afterLines="50" w:after="120" w:line="240" w:lineRule="auto"/>
        <w:ind w:firstLineChars="0"/>
        <w:rPr>
          <w:rFonts w:eastAsiaTheme="minorEastAsia"/>
        </w:rPr>
      </w:pPr>
      <w:r>
        <w:rPr>
          <w:rFonts w:eastAsiaTheme="minorEastAsia" w:hint="eastAsia"/>
        </w:rPr>
        <w:t>F</w:t>
      </w:r>
      <w:r>
        <w:rPr>
          <w:rFonts w:eastAsiaTheme="minorEastAsia"/>
        </w:rPr>
        <w:t xml:space="preserve">or unloaded case (when there is no data): </w:t>
      </w:r>
    </w:p>
    <w:p w:rsidR="004D6274" w:rsidRDefault="00585D9D">
      <w:pPr>
        <w:pStyle w:val="Equation"/>
        <w:snapToGrid w:val="0"/>
        <w:spacing w:beforeLines="50" w:afterLines="50" w:after="120"/>
        <w:rPr>
          <w:iCs/>
          <w:sz w:val="20"/>
          <w:lang w:eastAsia="zh-CN"/>
        </w:rPr>
      </w:pPr>
      <m:oMathPara>
        <m:oMathParaPr>
          <m:jc m:val="center"/>
        </m:oMathParaPr>
        <m:oMath>
          <m:sSub>
            <m:sSubPr>
              <m:ctrlPr>
                <w:rPr>
                  <w:rFonts w:ascii="Cambria Math" w:hAnsi="Cambria Math"/>
                  <w:sz w:val="20"/>
                </w:rPr>
              </m:ctrlPr>
            </m:sSubPr>
            <m:e>
              <m:r>
                <w:rPr>
                  <w:rFonts w:ascii="Cambria Math" w:hAnsi="Cambria Math"/>
                  <w:sz w:val="20"/>
                </w:rPr>
                <m:t>EE</m:t>
              </m:r>
            </m:e>
            <m:sub>
              <m:r>
                <w:rPr>
                  <w:rFonts w:ascii="Cambria Math" w:hAnsi="Cambria Math"/>
                  <w:sz w:val="20"/>
                </w:rPr>
                <m:t>no</m:t>
              </m:r>
              <m:r>
                <m:rPr>
                  <m:sty m:val="p"/>
                </m:rPr>
                <w:rPr>
                  <w:rFonts w:ascii="Cambria Math" w:hAnsi="Cambria Math"/>
                  <w:sz w:val="20"/>
                </w:rPr>
                <m:t>_</m:t>
              </m:r>
              <m:r>
                <w:rPr>
                  <w:rFonts w:ascii="Cambria Math" w:hAnsi="Cambria Math"/>
                  <w:sz w:val="20"/>
                </w:rPr>
                <m:t>data</m:t>
              </m:r>
            </m:sub>
          </m:sSub>
          <m:r>
            <m:rPr>
              <m:sty m:val="p"/>
            </m:rPr>
            <w:rPr>
              <w:rFonts w:ascii="Cambria Math" w:hAnsi="Cambria Math"/>
              <w:sz w:val="20"/>
            </w:rPr>
            <m:t>=</m:t>
          </m:r>
          <m:r>
            <w:rPr>
              <w:rFonts w:ascii="Cambria Math" w:hAnsi="Cambria Math"/>
              <w:sz w:val="20"/>
            </w:rPr>
            <m:t>E</m:t>
          </m:r>
        </m:oMath>
      </m:oMathPara>
    </w:p>
    <w:p w:rsidR="004D6274" w:rsidRDefault="00585D9D">
      <w:pPr>
        <w:pStyle w:val="aff0"/>
        <w:numPr>
          <w:ilvl w:val="0"/>
          <w:numId w:val="14"/>
        </w:numPr>
        <w:snapToGrid w:val="0"/>
        <w:spacing w:beforeLines="50" w:before="120" w:afterLines="50" w:after="120" w:line="240" w:lineRule="auto"/>
        <w:ind w:firstLineChars="0"/>
        <w:rPr>
          <w:rFonts w:eastAsiaTheme="minorEastAsia"/>
        </w:rPr>
      </w:pPr>
      <w:r>
        <w:rPr>
          <w:rFonts w:eastAsiaTheme="minorEastAsia" w:hint="eastAsia"/>
        </w:rPr>
        <w:t>F</w:t>
      </w:r>
      <w:r>
        <w:rPr>
          <w:rFonts w:eastAsiaTheme="minorEastAsia"/>
        </w:rPr>
        <w:t xml:space="preserve">or loaded case: </w:t>
      </w:r>
    </w:p>
    <w:p w:rsidR="004D6274" w:rsidRDefault="00585D9D">
      <w:pPr>
        <w:snapToGrid w:val="0"/>
        <w:spacing w:beforeLines="50" w:before="120" w:afterLines="50" w:after="120" w:line="240" w:lineRule="auto"/>
        <w:rPr>
          <w:rFonts w:eastAsiaTheme="minorEastAsia"/>
          <w:lang w:val="en-GB"/>
        </w:rPr>
      </w:pPr>
      <m:oMathPara>
        <m:oMath>
          <m:sSub>
            <m:sSubPr>
              <m:ctrlPr>
                <w:rPr>
                  <w:rFonts w:ascii="Cambria Math" w:hAnsi="Cambria Math"/>
                </w:rPr>
              </m:ctrlPr>
            </m:sSubPr>
            <m:e>
              <m:r>
                <w:rPr>
                  <w:rFonts w:ascii="Cambria Math" w:hAnsi="Cambria Math"/>
                </w:rPr>
                <m:t>EE</m:t>
              </m:r>
            </m:e>
            <m:sub>
              <m:r>
                <w:rPr>
                  <w:rFonts w:ascii="Cambria Math" w:hAnsi="Cambria Math"/>
                </w:rPr>
                <m:t>loaded</m:t>
              </m:r>
            </m:sub>
          </m:sSub>
          <m:r>
            <m:rPr>
              <m:sty m:val="p"/>
            </m:rPr>
            <w:rPr>
              <w:rFonts w:ascii="Cambria Math" w:hAnsi="Cambria Math"/>
            </w:rPr>
            <m:t>=</m:t>
          </m:r>
          <m:r>
            <w:rPr>
              <w:rFonts w:ascii="Cambria Math" w:hAnsi="Cambria Math"/>
            </w:rPr>
            <m:t>v</m:t>
          </m:r>
          <m:r>
            <m:rPr>
              <m:sty m:val="p"/>
            </m:rPr>
            <w:rPr>
              <w:rFonts w:ascii="Cambria Math" w:hAnsi="Cambria Math"/>
            </w:rPr>
            <m:t>/</m:t>
          </m:r>
          <m:r>
            <w:rPr>
              <w:rFonts w:ascii="Cambria Math" w:hAnsi="Cambria Math"/>
            </w:rPr>
            <m:t>E</m:t>
          </m:r>
        </m:oMath>
      </m:oMathPara>
    </w:p>
    <w:p w:rsidR="004D6274" w:rsidRDefault="00585D9D">
      <w:pPr>
        <w:snapToGrid w:val="0"/>
        <w:spacing w:beforeLines="50" w:before="120" w:afterLines="50" w:after="120" w:line="240" w:lineRule="auto"/>
        <w:rPr>
          <w:rFonts w:eastAsiaTheme="minorEastAsia"/>
        </w:rPr>
      </w:pPr>
      <w:r>
        <w:rPr>
          <w:rFonts w:eastAsia="宋体" w:hAnsi="Cambria Math" w:hint="eastAsia"/>
        </w:rPr>
        <w:t xml:space="preserve">where </w:t>
      </w:r>
      <m:oMath>
        <m:r>
          <w:rPr>
            <w:rFonts w:ascii="Cambria Math" w:hAnsi="Cambria Math"/>
          </w:rPr>
          <m:t>v</m:t>
        </m:r>
      </m:oMath>
      <w:r>
        <w:rPr>
          <w:rFonts w:eastAsiaTheme="minorEastAsia" w:hint="eastAsia"/>
        </w:rPr>
        <w:t xml:space="preserve"> </w:t>
      </w:r>
      <w:r>
        <w:rPr>
          <w:rFonts w:eastAsiaTheme="minorEastAsia"/>
        </w:rPr>
        <w:t>refers to the traffic per second served by a base station or traffic per second of a device</w:t>
      </w:r>
      <w:r>
        <w:rPr>
          <w:rFonts w:eastAsiaTheme="minorEastAsia" w:hint="eastAsia"/>
        </w:rPr>
        <w:t>, i.e. data rate</w:t>
      </w:r>
      <w:r>
        <w:rPr>
          <w:rFonts w:eastAsiaTheme="minorEastAsia"/>
        </w:rPr>
        <w:t>.</w:t>
      </w:r>
    </w:p>
    <w:p w:rsidR="004D6274" w:rsidRDefault="00585D9D">
      <w:pPr>
        <w:snapToGrid w:val="0"/>
        <w:spacing w:beforeLines="50" w:before="120" w:afterLines="50" w:after="120" w:line="240" w:lineRule="auto"/>
        <w:rPr>
          <w:rFonts w:eastAsiaTheme="minorEastAsia"/>
        </w:rPr>
      </w:pPr>
      <w:r>
        <w:rPr>
          <w:rFonts w:eastAsiaTheme="minorEastAsia" w:hint="eastAsia"/>
        </w:rPr>
        <w:t>B</w:t>
      </w:r>
      <w:r>
        <w:rPr>
          <w:rFonts w:eastAsiaTheme="minorEastAsia"/>
        </w:rPr>
        <w:t>ased on the above analysis, the following proposal</w:t>
      </w:r>
      <w:r>
        <w:rPr>
          <w:rFonts w:eastAsiaTheme="minorEastAsia" w:hint="eastAsia"/>
        </w:rPr>
        <w:t xml:space="preserve"> is suggested to define energy efficiency:</w:t>
      </w:r>
    </w:p>
    <w:p w:rsidR="004D6274" w:rsidRDefault="004D6274">
      <w:pPr>
        <w:snapToGrid w:val="0"/>
        <w:spacing w:beforeLines="50" w:before="120" w:afterLines="50" w:after="120" w:line="240" w:lineRule="auto"/>
        <w:jc w:val="both"/>
        <w:rPr>
          <w:rFonts w:eastAsiaTheme="minorEastAsia"/>
          <w:b/>
          <w:lang w:val="en-GB"/>
        </w:rPr>
      </w:pPr>
    </w:p>
    <w:p w:rsidR="004D6274" w:rsidRDefault="00585D9D">
      <w:pPr>
        <w:snapToGrid w:val="0"/>
        <w:spacing w:beforeLines="50" w:before="120" w:afterLines="50" w:after="120" w:line="240" w:lineRule="auto"/>
        <w:jc w:val="both"/>
        <w:rPr>
          <w:rFonts w:eastAsiaTheme="minorEastAsia"/>
          <w:b/>
          <w:lang w:val="en-GB"/>
        </w:rPr>
      </w:pPr>
      <w:r>
        <w:rPr>
          <w:rFonts w:eastAsiaTheme="minorEastAsia" w:hint="eastAsia"/>
          <w:b/>
          <w:lang w:val="en-GB"/>
        </w:rPr>
        <w:t>P</w:t>
      </w:r>
      <w:r>
        <w:rPr>
          <w:rFonts w:eastAsiaTheme="minorEastAsia"/>
          <w:b/>
          <w:lang w:val="en-GB"/>
        </w:rPr>
        <w:t>roposal 3: Quantitative energy efficiency TPR can be adopted for IMT-2030 communication for network and device:</w:t>
      </w:r>
    </w:p>
    <w:p w:rsidR="004D6274" w:rsidRDefault="00585D9D">
      <w:pPr>
        <w:pStyle w:val="aff0"/>
        <w:numPr>
          <w:ilvl w:val="0"/>
          <w:numId w:val="14"/>
        </w:numPr>
        <w:snapToGrid w:val="0"/>
        <w:spacing w:beforeLines="50" w:before="120" w:afterLines="50" w:after="120" w:line="240" w:lineRule="auto"/>
        <w:ind w:firstLineChars="0"/>
        <w:jc w:val="both"/>
        <w:rPr>
          <w:rFonts w:eastAsiaTheme="minorEastAsia"/>
          <w:b/>
          <w:lang w:val="en-GB"/>
        </w:rPr>
      </w:pPr>
      <w:r>
        <w:rPr>
          <w:rFonts w:eastAsiaTheme="minorEastAsia"/>
          <w:b/>
          <w:lang w:val="en-GB"/>
        </w:rPr>
        <w:t xml:space="preserve">For unloaded case: </w:t>
      </w:r>
      <m:oMath>
        <m:sSub>
          <m:sSubPr>
            <m:ctrlPr>
              <w:rPr>
                <w:rFonts w:ascii="Cambria Math" w:hAnsi="Cambria Math"/>
                <w:b/>
                <w:szCs w:val="20"/>
              </w:rPr>
            </m:ctrlPr>
          </m:sSubPr>
          <m:e>
            <m:r>
              <m:rPr>
                <m:sty m:val="bi"/>
              </m:rPr>
              <w:rPr>
                <w:rFonts w:ascii="Cambria Math" w:hAnsi="Cambria Math"/>
                <w:szCs w:val="20"/>
              </w:rPr>
              <m:t>EE</m:t>
            </m:r>
          </m:e>
          <m:sub>
            <m:r>
              <m:rPr>
                <m:sty m:val="bi"/>
              </m:rPr>
              <w:rPr>
                <w:rFonts w:ascii="Cambria Math" w:hAnsi="Cambria Math"/>
                <w:szCs w:val="20"/>
              </w:rPr>
              <m:t>no</m:t>
            </m:r>
            <m:r>
              <m:rPr>
                <m:sty m:val="b"/>
              </m:rPr>
              <w:rPr>
                <w:rFonts w:ascii="Cambria Math" w:hAnsi="Cambria Math"/>
                <w:szCs w:val="20"/>
              </w:rPr>
              <m:t>_</m:t>
            </m:r>
            <m:r>
              <m:rPr>
                <m:sty m:val="bi"/>
              </m:rPr>
              <w:rPr>
                <w:rFonts w:ascii="Cambria Math" w:hAnsi="Cambria Math"/>
                <w:szCs w:val="20"/>
              </w:rPr>
              <m:t>data</m:t>
            </m:r>
          </m:sub>
        </m:sSub>
        <m:r>
          <m:rPr>
            <m:sty m:val="b"/>
          </m:rPr>
          <w:rPr>
            <w:rFonts w:ascii="Cambria Math" w:hAnsi="Cambria Math"/>
            <w:szCs w:val="20"/>
          </w:rPr>
          <m:t>=</m:t>
        </m:r>
        <m:r>
          <m:rPr>
            <m:sty m:val="bi"/>
          </m:rPr>
          <w:rPr>
            <w:rFonts w:ascii="Cambria Math" w:hAnsi="Cambria Math"/>
            <w:szCs w:val="20"/>
          </w:rPr>
          <m:t>E</m:t>
        </m:r>
      </m:oMath>
    </w:p>
    <w:p w:rsidR="004D6274" w:rsidRDefault="00585D9D">
      <w:pPr>
        <w:pStyle w:val="aff0"/>
        <w:numPr>
          <w:ilvl w:val="0"/>
          <w:numId w:val="14"/>
        </w:numPr>
        <w:snapToGrid w:val="0"/>
        <w:spacing w:beforeLines="50" w:before="120" w:afterLines="50" w:after="120" w:line="240" w:lineRule="auto"/>
        <w:ind w:firstLineChars="0"/>
        <w:jc w:val="both"/>
        <w:rPr>
          <w:rFonts w:eastAsiaTheme="minorEastAsia"/>
          <w:b/>
          <w:lang w:val="en-GB"/>
        </w:rPr>
      </w:pPr>
      <w:r>
        <w:rPr>
          <w:rFonts w:eastAsiaTheme="minorEastAsia" w:hint="eastAsia"/>
          <w:b/>
          <w:lang w:val="en-GB"/>
        </w:rPr>
        <w:t>F</w:t>
      </w:r>
      <w:r>
        <w:rPr>
          <w:rFonts w:eastAsiaTheme="minorEastAsia"/>
          <w:b/>
          <w:lang w:val="en-GB"/>
        </w:rPr>
        <w:t xml:space="preserve">or loaded case: </w:t>
      </w:r>
      <m:oMath>
        <m:sSub>
          <m:sSubPr>
            <m:ctrlPr>
              <w:rPr>
                <w:rFonts w:ascii="Cambria Math" w:hAnsi="Cambria Math"/>
                <w:b/>
              </w:rPr>
            </m:ctrlPr>
          </m:sSubPr>
          <m:e>
            <m:r>
              <m:rPr>
                <m:sty m:val="bi"/>
              </m:rPr>
              <w:rPr>
                <w:rFonts w:ascii="Cambria Math" w:hAnsi="Cambria Math"/>
              </w:rPr>
              <m:t>EE</m:t>
            </m:r>
          </m:e>
          <m:sub>
            <m:r>
              <m:rPr>
                <m:sty m:val="bi"/>
              </m:rPr>
              <w:rPr>
                <w:rFonts w:ascii="Cambria Math" w:hAnsi="Cambria Math"/>
              </w:rPr>
              <m:t>loaded</m:t>
            </m:r>
          </m:sub>
        </m:sSub>
        <m:r>
          <m:rPr>
            <m:sty m:val="b"/>
          </m:rPr>
          <w:rPr>
            <w:rFonts w:ascii="Cambria Math" w:hAnsi="Cambria Math"/>
          </w:rPr>
          <m:t>=</m:t>
        </m:r>
        <m:r>
          <m:rPr>
            <m:sty m:val="bi"/>
          </m:rPr>
          <w:rPr>
            <w:rFonts w:ascii="Cambria Math" w:hAnsi="Cambria Math"/>
          </w:rPr>
          <m:t>v</m:t>
        </m:r>
        <m:r>
          <m:rPr>
            <m:sty m:val="b"/>
          </m:rPr>
          <w:rPr>
            <w:rFonts w:ascii="Cambria Math" w:hAnsi="Cambria Math"/>
          </w:rPr>
          <m:t>/</m:t>
        </m:r>
        <m:r>
          <m:rPr>
            <m:sty m:val="bi"/>
          </m:rPr>
          <w:rPr>
            <w:rFonts w:ascii="Cambria Math" w:hAnsi="Cambria Math"/>
          </w:rPr>
          <m:t>E</m:t>
        </m:r>
      </m:oMath>
    </w:p>
    <w:p w:rsidR="004D6274" w:rsidRDefault="00585D9D">
      <w:pPr>
        <w:pStyle w:val="aff0"/>
        <w:numPr>
          <w:ilvl w:val="255"/>
          <w:numId w:val="0"/>
        </w:numPr>
        <w:snapToGrid w:val="0"/>
        <w:spacing w:beforeLines="50" w:before="120" w:afterLines="50" w:after="120" w:line="240" w:lineRule="auto"/>
        <w:ind w:left="420"/>
        <w:jc w:val="both"/>
        <w:rPr>
          <w:rFonts w:eastAsiaTheme="minorEastAsia"/>
          <w:b/>
          <w:lang w:val="en-GB"/>
        </w:rPr>
      </w:pPr>
      <w:r>
        <w:rPr>
          <w:rFonts w:eastAsia="宋体" w:hAnsi="Cambria Math" w:hint="eastAsia"/>
          <w:b/>
          <w:szCs w:val="20"/>
        </w:rPr>
        <w:t xml:space="preserve">where </w:t>
      </w:r>
      <m:oMath>
        <m:r>
          <m:rPr>
            <m:sty m:val="bi"/>
          </m:rPr>
          <w:rPr>
            <w:rFonts w:ascii="Cambria Math" w:hAnsi="Cambria Math"/>
            <w:szCs w:val="20"/>
          </w:rPr>
          <m:t>E</m:t>
        </m:r>
      </m:oMath>
      <w:r>
        <w:rPr>
          <w:rFonts w:eastAsiaTheme="minorEastAsia"/>
          <w:b/>
          <w:lang w:val="en-GB"/>
        </w:rPr>
        <w:t xml:space="preserve"> is defined as average energy consumption during the observation time, </w:t>
      </w:r>
      <m:oMath>
        <m:r>
          <m:rPr>
            <m:sty m:val="bi"/>
          </m:rPr>
          <w:rPr>
            <w:rFonts w:ascii="Cambria Math" w:hAnsi="Cambria Math"/>
          </w:rPr>
          <m:t>v</m:t>
        </m:r>
      </m:oMath>
      <w:r>
        <w:rPr>
          <w:rFonts w:eastAsiaTheme="minorEastAsia" w:hint="eastAsia"/>
          <w:b/>
        </w:rPr>
        <w:t xml:space="preserve"> </w:t>
      </w:r>
      <w:r>
        <w:rPr>
          <w:rFonts w:eastAsiaTheme="minorEastAsia"/>
          <w:b/>
        </w:rPr>
        <w:t>refers to the traffic per second served by a base station or traffic per second of a device</w:t>
      </w:r>
    </w:p>
    <w:p w:rsidR="004D6274" w:rsidRDefault="004D6274">
      <w:pPr>
        <w:snapToGrid w:val="0"/>
        <w:rPr>
          <w:rFonts w:eastAsiaTheme="minorEastAsia"/>
        </w:rPr>
      </w:pPr>
    </w:p>
    <w:p w:rsidR="004D6274" w:rsidRDefault="00585D9D">
      <w:pPr>
        <w:snapToGrid w:val="0"/>
        <w:outlineLvl w:val="2"/>
        <w:rPr>
          <w:rFonts w:eastAsiaTheme="minorEastAsia"/>
          <w:b/>
          <w:sz w:val="21"/>
        </w:rPr>
      </w:pPr>
      <w:r>
        <w:rPr>
          <w:rFonts w:eastAsiaTheme="minorEastAsia" w:hint="eastAsia"/>
          <w:b/>
          <w:sz w:val="21"/>
        </w:rPr>
        <w:t>2</w:t>
      </w:r>
      <w:r>
        <w:rPr>
          <w:rFonts w:eastAsiaTheme="minorEastAsia"/>
          <w:b/>
          <w:sz w:val="21"/>
        </w:rPr>
        <w:t>.1.3 Sensing</w:t>
      </w:r>
    </w:p>
    <w:p w:rsidR="004D6274" w:rsidRDefault="00585D9D">
      <w:pPr>
        <w:pStyle w:val="enumlev1"/>
        <w:snapToGrid w:val="0"/>
        <w:spacing w:beforeLines="50" w:before="120" w:afterLines="50" w:after="120"/>
        <w:ind w:left="0" w:firstLine="0"/>
        <w:jc w:val="both"/>
        <w:rPr>
          <w:sz w:val="20"/>
          <w:lang w:val="en-US" w:eastAsia="zh-CN"/>
        </w:rPr>
      </w:pPr>
      <w:r>
        <w:rPr>
          <w:rFonts w:hint="eastAsia"/>
          <w:sz w:val="20"/>
          <w:lang w:val="en-US" w:eastAsia="zh-CN"/>
        </w:rPr>
        <w:t xml:space="preserve">For ISAC, numerous use cases have been specified in SA1 TS 22.137 [6]. Furthermore, the channel modeling is under discussion in RAN1 and will be completed in Rel-19 for positioning-type use cases including UAV, AGV, pedestrian, vehicles and hazardous objects invasion and tracking. For this type of sensing targets, the requirements have been </w:t>
      </w:r>
      <w:r>
        <w:rPr>
          <w:rFonts w:hint="eastAsia"/>
          <w:sz w:val="20"/>
          <w:lang w:val="en-US" w:eastAsia="zh-CN"/>
        </w:rPr>
        <w:lastRenderedPageBreak/>
        <w:t>defined in ST 22.137. From TPR perspective, the detectability, localization accuracy, velocity accuracy and sensing resolution can be considered.</w:t>
      </w:r>
    </w:p>
    <w:p w:rsidR="004D6274" w:rsidRDefault="00585D9D">
      <w:pPr>
        <w:pStyle w:val="enumlev1"/>
        <w:numPr>
          <w:ilvl w:val="0"/>
          <w:numId w:val="15"/>
        </w:numPr>
        <w:snapToGrid w:val="0"/>
        <w:spacing w:beforeLines="50" w:before="120" w:afterLines="50" w:after="120"/>
        <w:jc w:val="both"/>
        <w:rPr>
          <w:rFonts w:eastAsia="宋体"/>
          <w:sz w:val="20"/>
        </w:rPr>
      </w:pPr>
      <w:r>
        <w:rPr>
          <w:sz w:val="20"/>
        </w:rPr>
        <w:t>Detectability (Detection / False Alarm Probability) – Detection probability, P</w:t>
      </w:r>
      <w:r>
        <w:rPr>
          <w:sz w:val="20"/>
          <w:vertAlign w:val="subscript"/>
        </w:rPr>
        <w:t>D,</w:t>
      </w:r>
      <w:r>
        <w:rPr>
          <w:sz w:val="20"/>
        </w:rPr>
        <w:t xml:space="preserve"> is the probability of correctly detecting the presence of the object, and False alarm probability, P</w:t>
      </w:r>
      <w:r>
        <w:rPr>
          <w:sz w:val="20"/>
          <w:vertAlign w:val="subscript"/>
        </w:rPr>
        <w:t>FA,</w:t>
      </w:r>
      <w:r>
        <w:rPr>
          <w:sz w:val="20"/>
        </w:rPr>
        <w:t xml:space="preserve"> is the associated probability that an object is detected given that the object is not present.</w:t>
      </w:r>
    </w:p>
    <w:p w:rsidR="004D6274" w:rsidRDefault="00585D9D">
      <w:pPr>
        <w:pStyle w:val="enumlev1"/>
        <w:numPr>
          <w:ilvl w:val="0"/>
          <w:numId w:val="15"/>
        </w:numPr>
        <w:snapToGrid w:val="0"/>
        <w:spacing w:beforeLines="50" w:before="120" w:afterLines="50" w:after="120"/>
        <w:jc w:val="both"/>
        <w:rPr>
          <w:sz w:val="20"/>
        </w:rPr>
      </w:pPr>
      <w:r>
        <w:rPr>
          <w:sz w:val="20"/>
        </w:rPr>
        <w:t xml:space="preserve">Localization Accuracy - Localization accuracy refers to the closeness of the measured sensing result of position of the target object to its true position value and is the difference between the calculated location and the actual location of an object. </w:t>
      </w:r>
    </w:p>
    <w:p w:rsidR="004D6274" w:rsidRDefault="00585D9D">
      <w:pPr>
        <w:pStyle w:val="enumlev1"/>
        <w:numPr>
          <w:ilvl w:val="0"/>
          <w:numId w:val="15"/>
        </w:numPr>
        <w:snapToGrid w:val="0"/>
        <w:spacing w:beforeLines="50" w:before="120" w:afterLines="50" w:after="120"/>
        <w:jc w:val="both"/>
        <w:rPr>
          <w:sz w:val="20"/>
        </w:rPr>
      </w:pPr>
      <w:r>
        <w:rPr>
          <w:sz w:val="20"/>
        </w:rPr>
        <w:t xml:space="preserve">Horizontal/Vertical Localization Accuracy (HSA/VSA): It is defined as the difference between the calculated horizontal/vertical position and the actual horizontal/vertical position of an object </w:t>
      </w:r>
    </w:p>
    <w:p w:rsidR="004D6274" w:rsidRDefault="00585D9D">
      <w:pPr>
        <w:pStyle w:val="enumlev1"/>
        <w:numPr>
          <w:ilvl w:val="0"/>
          <w:numId w:val="15"/>
        </w:numPr>
        <w:snapToGrid w:val="0"/>
        <w:spacing w:beforeLines="50" w:before="120" w:afterLines="50" w:after="120"/>
        <w:jc w:val="both"/>
        <w:rPr>
          <w:sz w:val="20"/>
        </w:rPr>
      </w:pPr>
      <w:r>
        <w:rPr>
          <w:sz w:val="20"/>
        </w:rPr>
        <w:t xml:space="preserve">Velocity Accuracy - Velocity accuracy is defined as the difference between the estimated velocity and the actual velocity of the sensing target. </w:t>
      </w:r>
    </w:p>
    <w:p w:rsidR="004D6274" w:rsidRDefault="00585D9D">
      <w:pPr>
        <w:pStyle w:val="enumlev1"/>
        <w:numPr>
          <w:ilvl w:val="0"/>
          <w:numId w:val="15"/>
        </w:numPr>
        <w:snapToGrid w:val="0"/>
        <w:spacing w:beforeLines="50" w:before="120" w:afterLines="50" w:after="120"/>
        <w:jc w:val="both"/>
        <w:rPr>
          <w:sz w:val="20"/>
        </w:rPr>
      </w:pPr>
      <w:r>
        <w:rPr>
          <w:sz w:val="20"/>
        </w:rPr>
        <w:t>Sensing Resolution – Is defined as the minimum difference of the measured value (e.g, range, location) of two target objects, in order to distinguish these two target objects. (evaluated by an analytical approach).</w:t>
      </w:r>
    </w:p>
    <w:p w:rsidR="004D6274" w:rsidRDefault="00585D9D">
      <w:pPr>
        <w:snapToGrid w:val="0"/>
        <w:spacing w:beforeLines="50" w:before="120" w:afterLines="50" w:after="120" w:line="240" w:lineRule="auto"/>
        <w:jc w:val="both"/>
        <w:rPr>
          <w:rFonts w:eastAsiaTheme="minorEastAsia"/>
        </w:rPr>
      </w:pPr>
      <w:r>
        <w:rPr>
          <w:rFonts w:eastAsiaTheme="minorEastAsia" w:hint="eastAsia"/>
          <w:lang w:val="en-GB"/>
        </w:rPr>
        <w:t>I</w:t>
      </w:r>
      <w:r>
        <w:rPr>
          <w:rFonts w:eastAsiaTheme="minorEastAsia"/>
          <w:lang w:val="en-GB"/>
        </w:rPr>
        <w:t xml:space="preserve">n addition to the above mentioned sensing-related TPR, </w:t>
      </w:r>
      <w:r>
        <w:rPr>
          <w:rFonts w:eastAsiaTheme="minorEastAsia" w:hint="eastAsia"/>
        </w:rPr>
        <w:t xml:space="preserve">new use cases, e.g. </w:t>
      </w:r>
      <w:r>
        <w:rPr>
          <w:rFonts w:eastAsiaTheme="minorEastAsia"/>
          <w:lang w:val="en-GB"/>
        </w:rPr>
        <w:t>micro-deformation can also be considered. Micro-deformation is the translation, tilt, bending and other deformation of the architectural structure of buildings (such as bridges and skyscraper). This type of deformation is not easily observable by the naked eye (on the order of centimeters), but has a significant impact on the health and life of the building structure. Displacement accuracy can be defined as the closeness of the measured deformation displacement to the true deformation displacement.</w:t>
      </w:r>
    </w:p>
    <w:p w:rsidR="004D6274" w:rsidRDefault="004D6274">
      <w:pPr>
        <w:snapToGrid w:val="0"/>
        <w:spacing w:beforeLines="50" w:before="120" w:afterLines="50" w:after="120" w:line="240" w:lineRule="auto"/>
        <w:rPr>
          <w:rFonts w:eastAsiaTheme="minorEastAsia"/>
          <w:b/>
          <w:lang w:val="en-GB"/>
        </w:rPr>
      </w:pPr>
    </w:p>
    <w:p w:rsidR="004D6274" w:rsidRDefault="00585D9D">
      <w:pPr>
        <w:snapToGrid w:val="0"/>
        <w:spacing w:beforeLines="50" w:before="120" w:afterLines="50" w:after="120" w:line="240" w:lineRule="auto"/>
        <w:rPr>
          <w:rFonts w:eastAsiaTheme="minorEastAsia"/>
          <w:b/>
          <w:lang w:val="en-GB"/>
        </w:rPr>
      </w:pPr>
      <w:r>
        <w:rPr>
          <w:rFonts w:eastAsiaTheme="minorEastAsia" w:hint="eastAsia"/>
          <w:b/>
          <w:lang w:val="en-GB"/>
        </w:rPr>
        <w:t>P</w:t>
      </w:r>
      <w:r>
        <w:rPr>
          <w:rFonts w:eastAsiaTheme="minorEastAsia"/>
          <w:b/>
          <w:lang w:val="en-GB"/>
        </w:rPr>
        <w:t xml:space="preserve">roposal 4: Support the following </w:t>
      </w:r>
      <w:r>
        <w:rPr>
          <w:rFonts w:eastAsiaTheme="minorEastAsia" w:hint="eastAsia"/>
          <w:b/>
        </w:rPr>
        <w:t>quantitative</w:t>
      </w:r>
      <w:r>
        <w:rPr>
          <w:rFonts w:eastAsiaTheme="minorEastAsia"/>
          <w:b/>
          <w:lang w:val="en-GB"/>
        </w:rPr>
        <w:t xml:space="preserve"> sensing-related TPRs:</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Detectability (Detection / False Alarm Probability)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Localization accuracy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Velocity accuracy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Sensing resolution</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Displacement accuracy</w:t>
      </w:r>
    </w:p>
    <w:p w:rsidR="004D6274" w:rsidRDefault="004D6274">
      <w:pPr>
        <w:snapToGrid w:val="0"/>
        <w:spacing w:afterLines="50" w:after="120" w:line="240" w:lineRule="auto"/>
        <w:rPr>
          <w:rFonts w:eastAsiaTheme="minorEastAsia"/>
        </w:rPr>
      </w:pPr>
    </w:p>
    <w:p w:rsidR="004D6274" w:rsidRDefault="00585D9D">
      <w:pPr>
        <w:snapToGrid w:val="0"/>
        <w:outlineLvl w:val="2"/>
        <w:rPr>
          <w:rFonts w:eastAsiaTheme="minorEastAsia"/>
          <w:b/>
          <w:sz w:val="21"/>
        </w:rPr>
      </w:pPr>
      <w:r>
        <w:rPr>
          <w:rFonts w:eastAsiaTheme="minorEastAsia" w:hint="eastAsia"/>
          <w:b/>
          <w:sz w:val="21"/>
        </w:rPr>
        <w:t>2</w:t>
      </w:r>
      <w:r>
        <w:rPr>
          <w:rFonts w:eastAsiaTheme="minorEastAsia"/>
          <w:b/>
          <w:sz w:val="21"/>
        </w:rPr>
        <w:t>.1.4 AI</w:t>
      </w:r>
    </w:p>
    <w:p w:rsidR="004D6274" w:rsidRDefault="00585D9D">
      <w:pPr>
        <w:snapToGrid w:val="0"/>
        <w:spacing w:before="120" w:afterLines="50" w:after="120" w:line="240" w:lineRule="auto"/>
        <w:jc w:val="both"/>
        <w:rPr>
          <w:rFonts w:eastAsiaTheme="minorEastAsia"/>
        </w:rPr>
      </w:pPr>
      <w:r>
        <w:rPr>
          <w:rFonts w:eastAsiaTheme="minorEastAsia" w:hint="eastAsia"/>
        </w:rPr>
        <w:t>T</w:t>
      </w:r>
      <w:r>
        <w:rPr>
          <w:rFonts w:eastAsiaTheme="minorEastAsia"/>
        </w:rPr>
        <w:t xml:space="preserve">he following description from </w:t>
      </w:r>
      <w:r>
        <w:rPr>
          <w:rFonts w:eastAsiaTheme="minorEastAsia" w:hint="eastAsia"/>
        </w:rPr>
        <w:t xml:space="preserve">ITU WP5D report </w:t>
      </w:r>
      <w:r>
        <w:rPr>
          <w:rFonts w:eastAsiaTheme="minorEastAsia"/>
        </w:rPr>
        <w:t>[4] can be used as a starting point:</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274">
        <w:tc>
          <w:tcPr>
            <w:tcW w:w="9576" w:type="dxa"/>
          </w:tcPr>
          <w:p w:rsidR="004D6274" w:rsidRDefault="00585D9D">
            <w:pPr>
              <w:tabs>
                <w:tab w:val="left" w:pos="1134"/>
                <w:tab w:val="left" w:pos="1871"/>
                <w:tab w:val="left" w:pos="2268"/>
              </w:tabs>
              <w:snapToGrid w:val="0"/>
              <w:spacing w:beforeLines="50" w:before="120" w:afterLines="50" w:after="120" w:line="240" w:lineRule="auto"/>
              <w:rPr>
                <w:szCs w:val="20"/>
              </w:rPr>
            </w:pPr>
            <w:r>
              <w:rPr>
                <w:szCs w:val="20"/>
              </w:rPr>
              <w:t>Applicable AI-related capabilities refer to the ability to provide certain functionalities throughout IMT-2030 to support AI enabled applications.</w:t>
            </w:r>
          </w:p>
          <w:p w:rsidR="004D6274" w:rsidRDefault="00585D9D">
            <w:pPr>
              <w:tabs>
                <w:tab w:val="left" w:pos="1134"/>
                <w:tab w:val="left" w:pos="1871"/>
                <w:tab w:val="left" w:pos="2268"/>
              </w:tabs>
              <w:snapToGrid w:val="0"/>
              <w:spacing w:beforeLines="50" w:before="120" w:afterLines="50" w:after="120" w:line="240" w:lineRule="auto"/>
              <w:rPr>
                <w:szCs w:val="20"/>
              </w:rPr>
            </w:pPr>
            <w:r>
              <w:rPr>
                <w:szCs w:val="20"/>
              </w:rPr>
              <w:t xml:space="preserve">The RIT should support AI-related capabilities, which refer to the ability for the RIT/SRIT to support [mechanisms and/or signalling/ related to] AI functionalities over the radio interface (between UE and Network). This should include support for one or more of the following: </w:t>
            </w:r>
          </w:p>
          <w:p w:rsidR="004D6274" w:rsidRDefault="00585D9D">
            <w:pPr>
              <w:pStyle w:val="enumlev1"/>
              <w:snapToGrid w:val="0"/>
              <w:spacing w:beforeLines="50" w:before="120" w:afterLines="50" w:after="120"/>
              <w:rPr>
                <w:sz w:val="20"/>
              </w:rPr>
            </w:pPr>
            <w:r>
              <w:rPr>
                <w:sz w:val="20"/>
              </w:rPr>
              <w:t>-</w:t>
            </w:r>
            <w:r>
              <w:rPr>
                <w:sz w:val="20"/>
              </w:rPr>
              <w:tab/>
              <w:t>Distributed data processing</w:t>
            </w:r>
          </w:p>
          <w:p w:rsidR="004D6274" w:rsidRDefault="00585D9D">
            <w:pPr>
              <w:pStyle w:val="enumlev1"/>
              <w:snapToGrid w:val="0"/>
              <w:spacing w:beforeLines="50" w:before="120" w:afterLines="50" w:after="120"/>
              <w:rPr>
                <w:sz w:val="20"/>
              </w:rPr>
            </w:pPr>
            <w:r>
              <w:rPr>
                <w:sz w:val="20"/>
              </w:rPr>
              <w:t xml:space="preserve">- </w:t>
            </w:r>
            <w:r>
              <w:rPr>
                <w:sz w:val="20"/>
              </w:rPr>
              <w:tab/>
              <w:t>Distributed learning</w:t>
            </w:r>
          </w:p>
          <w:p w:rsidR="004D6274" w:rsidRDefault="00585D9D">
            <w:pPr>
              <w:pStyle w:val="enumlev1"/>
              <w:snapToGrid w:val="0"/>
              <w:spacing w:beforeLines="50" w:before="120" w:afterLines="50" w:after="120"/>
              <w:rPr>
                <w:sz w:val="20"/>
              </w:rPr>
            </w:pPr>
            <w:r>
              <w:rPr>
                <w:sz w:val="20"/>
              </w:rPr>
              <w:t>-</w:t>
            </w:r>
            <w:r>
              <w:rPr>
                <w:sz w:val="20"/>
              </w:rPr>
              <w:tab/>
              <w:t>AI computing</w:t>
            </w:r>
          </w:p>
          <w:p w:rsidR="004D6274" w:rsidRDefault="00585D9D">
            <w:pPr>
              <w:pStyle w:val="enumlev1"/>
              <w:snapToGrid w:val="0"/>
              <w:spacing w:beforeLines="50" w:before="120" w:afterLines="50" w:after="120"/>
              <w:rPr>
                <w:sz w:val="20"/>
              </w:rPr>
            </w:pPr>
            <w:r>
              <w:rPr>
                <w:sz w:val="20"/>
              </w:rPr>
              <w:t>-</w:t>
            </w:r>
            <w:r>
              <w:rPr>
                <w:sz w:val="20"/>
              </w:rPr>
              <w:tab/>
              <w:t>AI model execution</w:t>
            </w:r>
          </w:p>
          <w:p w:rsidR="004D6274" w:rsidRDefault="00585D9D">
            <w:pPr>
              <w:pStyle w:val="enumlev1"/>
              <w:snapToGrid w:val="0"/>
              <w:spacing w:beforeLines="50" w:before="120" w:afterLines="50" w:after="120"/>
              <w:rPr>
                <w:sz w:val="20"/>
              </w:rPr>
            </w:pPr>
            <w:r>
              <w:rPr>
                <w:sz w:val="20"/>
              </w:rPr>
              <w:t>-</w:t>
            </w:r>
            <w:r>
              <w:rPr>
                <w:sz w:val="20"/>
              </w:rPr>
              <w:tab/>
              <w:t>AI model inference</w:t>
            </w:r>
          </w:p>
          <w:p w:rsidR="004D6274" w:rsidRDefault="00585D9D">
            <w:pPr>
              <w:pStyle w:val="enumlev1"/>
              <w:snapToGrid w:val="0"/>
              <w:spacing w:beforeLines="50" w:before="120" w:afterLines="50" w:after="120"/>
              <w:rPr>
                <w:sz w:val="20"/>
              </w:rPr>
            </w:pPr>
            <w:r>
              <w:rPr>
                <w:sz w:val="20"/>
              </w:rPr>
              <w:t>-</w:t>
            </w:r>
            <w:r>
              <w:rPr>
                <w:sz w:val="20"/>
              </w:rPr>
              <w:tab/>
              <w:t>or other AI capabilities of the RITs/SRITs (to be reported by the proponent)</w:t>
            </w:r>
          </w:p>
          <w:p w:rsidR="004D6274" w:rsidRDefault="00585D9D">
            <w:pPr>
              <w:pStyle w:val="EditorsNote"/>
              <w:snapToGrid w:val="0"/>
              <w:spacing w:beforeLines="50" w:before="120" w:afterLines="50" w:after="120" w:line="240" w:lineRule="auto"/>
              <w:rPr>
                <w:szCs w:val="20"/>
              </w:rPr>
            </w:pPr>
            <w:r>
              <w:rPr>
                <w:szCs w:val="20"/>
              </w:rPr>
              <w:lastRenderedPageBreak/>
              <w:t>Editor’s note: The following is a placeholder for a possible quantitative requirement on “Network for AI”, that would require further input and discussions.</w:t>
            </w:r>
          </w:p>
          <w:p w:rsidR="004D6274" w:rsidRDefault="00585D9D">
            <w:pPr>
              <w:pStyle w:val="Headingb"/>
              <w:snapToGrid w:val="0"/>
              <w:spacing w:beforeLines="50" w:before="120" w:afterLines="50" w:after="120" w:line="240" w:lineRule="auto"/>
              <w:rPr>
                <w:rFonts w:ascii="Times New Roman" w:hAnsi="Times New Roman" w:cs="Times New Roman"/>
                <w:szCs w:val="20"/>
              </w:rPr>
            </w:pPr>
            <w:r>
              <w:rPr>
                <w:rFonts w:ascii="Times New Roman" w:hAnsi="Times New Roman" w:cs="Times New Roman"/>
                <w:szCs w:val="20"/>
              </w:rPr>
              <w:t xml:space="preserve">AI Service Latency </w:t>
            </w:r>
          </w:p>
          <w:p w:rsidR="004D6274" w:rsidRDefault="00585D9D">
            <w:pPr>
              <w:tabs>
                <w:tab w:val="left" w:pos="1134"/>
                <w:tab w:val="left" w:pos="1871"/>
                <w:tab w:val="left" w:pos="2268"/>
              </w:tabs>
              <w:snapToGrid w:val="0"/>
              <w:spacing w:beforeLines="50" w:before="120" w:afterLines="50" w:after="120" w:line="240" w:lineRule="auto"/>
              <w:rPr>
                <w:szCs w:val="20"/>
              </w:rPr>
            </w:pPr>
            <w:r>
              <w:rPr>
                <w:bCs/>
                <w:szCs w:val="20"/>
              </w:rPr>
              <w:t>AI service latency is the time from beginning to the end of a given AI inference/learning task with a target service accuracy.</w:t>
            </w:r>
          </w:p>
          <w:p w:rsidR="004D6274" w:rsidRDefault="00585D9D">
            <w:pPr>
              <w:pStyle w:val="EditorsNote"/>
              <w:snapToGrid w:val="0"/>
              <w:spacing w:beforeLines="50" w:before="120" w:afterLines="50" w:after="120" w:line="240" w:lineRule="auto"/>
              <w:rPr>
                <w:szCs w:val="20"/>
              </w:rPr>
            </w:pPr>
            <w:r>
              <w:rPr>
                <w:szCs w:val="20"/>
              </w:rPr>
              <w:t>Editor’s note: The following is a placeholder for a possible quantitative requirement on “AI for Network”, that would require further input and discussions.</w:t>
            </w:r>
          </w:p>
          <w:p w:rsidR="004D6274" w:rsidRDefault="00585D9D">
            <w:pPr>
              <w:pStyle w:val="Headingb"/>
              <w:snapToGrid w:val="0"/>
              <w:spacing w:beforeLines="50" w:before="120" w:afterLines="50" w:after="120" w:line="240" w:lineRule="auto"/>
              <w:rPr>
                <w:rFonts w:ascii="Times New Roman" w:hAnsi="Times New Roman" w:cs="Times New Roman"/>
                <w:szCs w:val="20"/>
              </w:rPr>
            </w:pPr>
            <w:r>
              <w:rPr>
                <w:rFonts w:ascii="Times New Roman" w:hAnsi="Times New Roman" w:cs="Times New Roman"/>
                <w:szCs w:val="20"/>
              </w:rPr>
              <w:t xml:space="preserve">AI assisted Network: </w:t>
            </w:r>
          </w:p>
          <w:p w:rsidR="004D6274" w:rsidRDefault="00585D9D">
            <w:pPr>
              <w:tabs>
                <w:tab w:val="left" w:pos="1134"/>
                <w:tab w:val="left" w:pos="1871"/>
                <w:tab w:val="left" w:pos="2268"/>
              </w:tabs>
              <w:snapToGrid w:val="0"/>
              <w:spacing w:beforeLines="50" w:before="120" w:afterLines="50" w:after="120" w:line="240" w:lineRule="auto"/>
              <w:rPr>
                <w:szCs w:val="20"/>
              </w:rPr>
            </w:pPr>
            <w:r>
              <w:rPr>
                <w:szCs w:val="20"/>
              </w:rPr>
              <w:t>This refers to the communication aspects of the RIT/SRIT being enhanced by AI frameworks, via AI models on both the mobile station side and the TRxP side, either by replacing or working in conjunction with non-AI frameworks.</w:t>
            </w:r>
          </w:p>
          <w:p w:rsidR="004D6274" w:rsidRDefault="00585D9D">
            <w:pPr>
              <w:tabs>
                <w:tab w:val="left" w:pos="1134"/>
                <w:tab w:val="left" w:pos="1871"/>
                <w:tab w:val="left" w:pos="2268"/>
              </w:tabs>
              <w:snapToGrid w:val="0"/>
              <w:spacing w:beforeLines="50" w:before="120" w:afterLines="50" w:after="120" w:line="240" w:lineRule="auto"/>
              <w:rPr>
                <w:rFonts w:eastAsiaTheme="minorEastAsia"/>
                <w:szCs w:val="20"/>
              </w:rPr>
            </w:pPr>
            <w:r>
              <w:rPr>
                <w:szCs w:val="20"/>
              </w:rPr>
              <w:t>The performance improvements with and without AI can be reported wherever applicable.</w:t>
            </w:r>
          </w:p>
        </w:tc>
      </w:tr>
    </w:tbl>
    <w:p w:rsidR="004D6274" w:rsidRDefault="00585D9D">
      <w:pPr>
        <w:snapToGrid w:val="0"/>
        <w:spacing w:beforeLines="50" w:before="120" w:afterLines="50" w:after="120" w:line="240" w:lineRule="auto"/>
        <w:jc w:val="both"/>
        <w:rPr>
          <w:rFonts w:eastAsiaTheme="minorEastAsia"/>
        </w:rPr>
      </w:pPr>
      <w:r>
        <w:rPr>
          <w:rFonts w:eastAsiaTheme="minorEastAsia"/>
        </w:rPr>
        <w:lastRenderedPageBreak/>
        <w:t xml:space="preserve">For AI assisted network, we </w:t>
      </w:r>
      <w:r>
        <w:rPr>
          <w:rFonts w:eastAsiaTheme="minorEastAsia" w:hint="eastAsia"/>
        </w:rPr>
        <w:t>think it can be reflected in other performance requirement items such as data rate, spectrum efficiency, energy efficiency etc., hence it may not be needed to separately define a dedicated TPR item</w:t>
      </w:r>
      <w:r>
        <w:rPr>
          <w:rFonts w:eastAsiaTheme="minorEastAsia"/>
        </w:rPr>
        <w:t xml:space="preserve">. </w:t>
      </w:r>
    </w:p>
    <w:p w:rsidR="004D6274" w:rsidRDefault="00585D9D">
      <w:pPr>
        <w:snapToGrid w:val="0"/>
        <w:spacing w:beforeLines="50" w:before="120" w:afterLines="50" w:after="120" w:line="240" w:lineRule="auto"/>
        <w:jc w:val="both"/>
        <w:rPr>
          <w:rFonts w:eastAsiaTheme="minorEastAsia"/>
        </w:rPr>
      </w:pPr>
      <w:r>
        <w:rPr>
          <w:rFonts w:eastAsiaTheme="minorEastAsia" w:hint="eastAsia"/>
        </w:rPr>
        <w:t>AI latency can reflect the 6G system processing capability with AI function. It can ensure that AI applications are achievable in valid time by setting measurable and enforceable performance targets for AI tasks within the 6G ecosystem. Hence, w</w:t>
      </w:r>
      <w:r>
        <w:rPr>
          <w:rFonts w:eastAsiaTheme="minorEastAsia"/>
        </w:rPr>
        <w:t>e support the following proposal:</w:t>
      </w:r>
    </w:p>
    <w:p w:rsidR="004D6274" w:rsidRDefault="004D6274">
      <w:pPr>
        <w:snapToGrid w:val="0"/>
        <w:spacing w:beforeLines="50" w:before="120" w:afterLines="50" w:after="120" w:line="240" w:lineRule="auto"/>
        <w:jc w:val="both"/>
        <w:rPr>
          <w:rFonts w:eastAsiaTheme="minorEastAsia"/>
          <w:b/>
          <w:lang w:val="en-GB"/>
        </w:rPr>
      </w:pPr>
    </w:p>
    <w:p w:rsidR="004D6274" w:rsidRDefault="00585D9D">
      <w:pPr>
        <w:snapToGrid w:val="0"/>
        <w:spacing w:beforeLines="50" w:before="120" w:afterLines="50" w:after="120" w:line="240" w:lineRule="auto"/>
        <w:jc w:val="both"/>
        <w:rPr>
          <w:rFonts w:eastAsiaTheme="minorEastAsia"/>
          <w:b/>
          <w:lang w:val="en-GB"/>
        </w:rPr>
      </w:pPr>
      <w:r>
        <w:rPr>
          <w:rFonts w:eastAsiaTheme="minorEastAsia" w:hint="eastAsia"/>
          <w:b/>
          <w:lang w:val="en-GB"/>
        </w:rPr>
        <w:t>P</w:t>
      </w:r>
      <w:r>
        <w:rPr>
          <w:rFonts w:eastAsiaTheme="minorEastAsia"/>
          <w:b/>
          <w:lang w:val="en-GB"/>
        </w:rPr>
        <w:t>roposal 5: For AI-related TPRs:</w:t>
      </w:r>
    </w:p>
    <w:p w:rsidR="004D6274" w:rsidRDefault="00585D9D">
      <w:pPr>
        <w:pStyle w:val="aff0"/>
        <w:numPr>
          <w:ilvl w:val="0"/>
          <w:numId w:val="17"/>
        </w:numPr>
        <w:snapToGrid w:val="0"/>
        <w:spacing w:beforeLines="50" w:before="120" w:afterLines="50" w:after="120" w:line="240" w:lineRule="auto"/>
        <w:ind w:firstLineChars="0"/>
        <w:jc w:val="both"/>
        <w:rPr>
          <w:rFonts w:eastAsiaTheme="minorEastAsia"/>
          <w:b/>
          <w:lang w:val="en-GB"/>
        </w:rPr>
      </w:pPr>
      <w:r>
        <w:rPr>
          <w:rFonts w:eastAsiaTheme="minorEastAsia" w:hint="eastAsia"/>
          <w:b/>
          <w:lang w:val="en-GB"/>
        </w:rPr>
        <w:t>A</w:t>
      </w:r>
      <w:r>
        <w:rPr>
          <w:rFonts w:eastAsiaTheme="minorEastAsia"/>
          <w:b/>
          <w:lang w:val="en-GB"/>
        </w:rPr>
        <w:t>t least support a qualitative TPR to reflect AI-related capability</w:t>
      </w:r>
    </w:p>
    <w:p w:rsidR="004D6274" w:rsidRDefault="00585D9D">
      <w:pPr>
        <w:pStyle w:val="aff0"/>
        <w:numPr>
          <w:ilvl w:val="0"/>
          <w:numId w:val="17"/>
        </w:numPr>
        <w:snapToGrid w:val="0"/>
        <w:spacing w:beforeLines="50" w:before="120" w:afterLines="50" w:after="120" w:line="240" w:lineRule="auto"/>
        <w:ind w:firstLineChars="0"/>
        <w:jc w:val="both"/>
        <w:rPr>
          <w:rFonts w:eastAsiaTheme="minorEastAsia"/>
          <w:b/>
          <w:lang w:val="en-GB"/>
        </w:rPr>
      </w:pPr>
      <w:r>
        <w:rPr>
          <w:rFonts w:eastAsiaTheme="minorEastAsia" w:hint="eastAsia"/>
          <w:b/>
          <w:lang w:val="en-GB"/>
        </w:rPr>
        <w:t>A</w:t>
      </w:r>
      <w:r>
        <w:rPr>
          <w:rFonts w:eastAsiaTheme="minorEastAsia"/>
          <w:b/>
          <w:lang w:val="en-GB"/>
        </w:rPr>
        <w:t>I service latency can be introduced for network assisted AI</w:t>
      </w:r>
    </w:p>
    <w:p w:rsidR="004D6274" w:rsidRDefault="004D6274">
      <w:pPr>
        <w:snapToGrid w:val="0"/>
        <w:spacing w:afterLines="50" w:after="120" w:line="240" w:lineRule="auto"/>
        <w:rPr>
          <w:rFonts w:eastAsiaTheme="minorEastAsia"/>
        </w:rPr>
      </w:pPr>
    </w:p>
    <w:p w:rsidR="004D6274" w:rsidRDefault="00585D9D">
      <w:pPr>
        <w:snapToGrid w:val="0"/>
        <w:outlineLvl w:val="2"/>
        <w:rPr>
          <w:rFonts w:eastAsiaTheme="minorEastAsia"/>
          <w:b/>
          <w:sz w:val="21"/>
        </w:rPr>
      </w:pPr>
      <w:r>
        <w:rPr>
          <w:rFonts w:eastAsiaTheme="minorEastAsia" w:hint="eastAsia"/>
          <w:b/>
          <w:sz w:val="21"/>
        </w:rPr>
        <w:t>2</w:t>
      </w:r>
      <w:r>
        <w:rPr>
          <w:rFonts w:eastAsiaTheme="minorEastAsia"/>
          <w:b/>
          <w:sz w:val="21"/>
        </w:rPr>
        <w:t>.1.5 Coverage, Security, Resilience, Interoperability</w:t>
      </w:r>
    </w:p>
    <w:p w:rsidR="004D6274" w:rsidRDefault="00585D9D">
      <w:pPr>
        <w:snapToGrid w:val="0"/>
        <w:spacing w:beforeLines="50" w:before="120" w:after="120" w:line="240" w:lineRule="auto"/>
        <w:jc w:val="both"/>
        <w:rPr>
          <w:rFonts w:eastAsiaTheme="minorEastAsia"/>
        </w:rPr>
      </w:pPr>
      <w:r>
        <w:rPr>
          <w:rFonts w:eastAsiaTheme="minorEastAsia" w:hint="eastAsia"/>
        </w:rPr>
        <w:t>F</w:t>
      </w:r>
      <w:r>
        <w:rPr>
          <w:rFonts w:eastAsiaTheme="minorEastAsia"/>
        </w:rPr>
        <w:t>or coverage: Coverage refers to the ability to provide access to communication services for users in a desired service area. Similar as IMT-2020, there is no need to define TPR for coverage and instead link budget can be provided in submission template.</w:t>
      </w:r>
    </w:p>
    <w:p w:rsidR="004D6274" w:rsidRDefault="00585D9D">
      <w:pPr>
        <w:snapToGrid w:val="0"/>
        <w:spacing w:beforeLines="50" w:before="120" w:after="120" w:line="240" w:lineRule="auto"/>
        <w:jc w:val="both"/>
        <w:rPr>
          <w:rFonts w:eastAsiaTheme="minorEastAsia"/>
        </w:rPr>
      </w:pPr>
      <w:r>
        <w:rPr>
          <w:rFonts w:eastAsiaTheme="minorEastAsia"/>
        </w:rPr>
        <w:t xml:space="preserve">For security, resilience and interoperability, submission template can </w:t>
      </w:r>
      <w:r>
        <w:rPr>
          <w:rFonts w:eastAsiaTheme="minorEastAsia" w:hint="eastAsia"/>
        </w:rPr>
        <w:t xml:space="preserve">also </w:t>
      </w:r>
      <w:r>
        <w:rPr>
          <w:rFonts w:eastAsiaTheme="minorEastAsia"/>
        </w:rPr>
        <w:t>be considered since it is not practical to define corresponding TPR.</w:t>
      </w:r>
    </w:p>
    <w:p w:rsidR="004D6274" w:rsidRDefault="004D6274">
      <w:pPr>
        <w:snapToGrid w:val="0"/>
        <w:spacing w:beforeLines="50" w:before="120" w:after="120" w:line="240" w:lineRule="auto"/>
        <w:jc w:val="both"/>
        <w:rPr>
          <w:rFonts w:eastAsiaTheme="minorEastAsia"/>
          <w:b/>
          <w:lang w:val="en-GB"/>
        </w:rPr>
      </w:pPr>
    </w:p>
    <w:p w:rsidR="004D6274" w:rsidRDefault="00585D9D">
      <w:pPr>
        <w:snapToGrid w:val="0"/>
        <w:spacing w:beforeLines="50" w:before="120" w:after="120" w:line="240" w:lineRule="auto"/>
        <w:jc w:val="both"/>
        <w:rPr>
          <w:rFonts w:eastAsiaTheme="minorEastAsia"/>
        </w:rPr>
      </w:pPr>
      <w:r>
        <w:rPr>
          <w:rFonts w:eastAsiaTheme="minorEastAsia" w:hint="eastAsia"/>
          <w:b/>
          <w:lang w:val="en-GB"/>
        </w:rPr>
        <w:t>P</w:t>
      </w:r>
      <w:r>
        <w:rPr>
          <w:rFonts w:eastAsiaTheme="minorEastAsia"/>
          <w:b/>
          <w:lang w:val="en-GB"/>
        </w:rPr>
        <w:t>roposal 6: Do not define TPR(s) for coverage, security, resilience and interoperability.</w:t>
      </w:r>
    </w:p>
    <w:p w:rsidR="004D6274" w:rsidRDefault="004D6274">
      <w:pPr>
        <w:snapToGrid w:val="0"/>
        <w:rPr>
          <w:rFonts w:eastAsiaTheme="minorEastAsia"/>
        </w:rPr>
      </w:pPr>
    </w:p>
    <w:p w:rsidR="004D6274" w:rsidRDefault="00585D9D">
      <w:pPr>
        <w:keepNext/>
        <w:widowControl w:val="0"/>
        <w:numPr>
          <w:ilvl w:val="1"/>
          <w:numId w:val="7"/>
        </w:numPr>
        <w:tabs>
          <w:tab w:val="left" w:pos="432"/>
          <w:tab w:val="left" w:pos="3686"/>
          <w:tab w:val="left" w:pos="4536"/>
        </w:tabs>
        <w:autoSpaceDE w:val="0"/>
        <w:autoSpaceDN w:val="0"/>
        <w:adjustRightInd w:val="0"/>
        <w:snapToGrid w:val="0"/>
        <w:spacing w:beforeLines="50" w:before="120" w:afterLines="50" w:after="120" w:line="240" w:lineRule="auto"/>
        <w:ind w:left="578" w:hanging="578"/>
        <w:textAlignment w:val="baseline"/>
        <w:outlineLvl w:val="1"/>
        <w:rPr>
          <w:rFonts w:eastAsia="Arial Unicode MS"/>
          <w:b/>
          <w:bCs/>
          <w:sz w:val="24"/>
          <w:szCs w:val="28"/>
        </w:rPr>
      </w:pPr>
      <w:r>
        <w:rPr>
          <w:rFonts w:eastAsia="Arial Unicode MS"/>
          <w:b/>
          <w:bCs/>
          <w:sz w:val="24"/>
          <w:szCs w:val="28"/>
        </w:rPr>
        <w:t>Target values of proposed TPRs</w:t>
      </w:r>
      <w:r>
        <w:rPr>
          <w:rFonts w:eastAsia="Arial Unicode MS" w:hint="eastAsia"/>
          <w:b/>
          <w:bCs/>
          <w:sz w:val="24"/>
          <w:szCs w:val="28"/>
        </w:rPr>
        <w:t xml:space="preserve"> </w:t>
      </w:r>
    </w:p>
    <w:p w:rsidR="004D6274" w:rsidRDefault="00585D9D">
      <w:pPr>
        <w:snapToGrid w:val="0"/>
        <w:jc w:val="both"/>
        <w:rPr>
          <w:rFonts w:eastAsiaTheme="minorEastAsia"/>
        </w:rPr>
      </w:pPr>
      <w:r>
        <w:rPr>
          <w:rFonts w:eastAsiaTheme="minorEastAsia" w:hint="eastAsia"/>
        </w:rPr>
        <w:t xml:space="preserve">In this section, we provide our views for target values on the proposed TRP items. The justification is briefly described in the third column for some TPR items. </w:t>
      </w:r>
    </w:p>
    <w:p w:rsidR="004D6274" w:rsidRDefault="00585D9D">
      <w:pPr>
        <w:snapToGrid w:val="0"/>
        <w:rPr>
          <w:rFonts w:eastAsiaTheme="minorEastAsia"/>
          <w:b/>
          <w:lang w:val="en-GB"/>
        </w:rPr>
      </w:pPr>
      <w:r>
        <w:rPr>
          <w:rFonts w:eastAsiaTheme="minorEastAsia" w:hint="eastAsia"/>
          <w:b/>
          <w:lang w:val="en-GB"/>
        </w:rPr>
        <w:t>P</w:t>
      </w:r>
      <w:r>
        <w:rPr>
          <w:rFonts w:eastAsiaTheme="minorEastAsia"/>
          <w:b/>
          <w:lang w:val="en-GB"/>
        </w:rPr>
        <w:t>roposal 7: Consider Table 2.2-1 regarding target values of TPRs for IMT-2030.</w:t>
      </w:r>
    </w:p>
    <w:p w:rsidR="004D6274" w:rsidRDefault="00585D9D">
      <w:pPr>
        <w:snapToGrid w:val="0"/>
        <w:jc w:val="center"/>
        <w:rPr>
          <w:rFonts w:eastAsiaTheme="minorEastAsia"/>
        </w:rPr>
      </w:pPr>
      <w:r>
        <w:rPr>
          <w:rFonts w:eastAsiaTheme="minorEastAsia" w:hint="eastAsia"/>
        </w:rPr>
        <w:t>T</w:t>
      </w:r>
      <w:r>
        <w:rPr>
          <w:rFonts w:eastAsiaTheme="minorEastAsia"/>
        </w:rPr>
        <w:t>able 2.2-1 Preliminary target values of TPRs for IMT-2030</w:t>
      </w:r>
    </w:p>
    <w:tbl>
      <w:tblPr>
        <w:tblW w:w="10333" w:type="dxa"/>
        <w:jc w:val="center"/>
        <w:shd w:val="clear" w:color="auto" w:fill="FFFFFF"/>
        <w:tblCellMar>
          <w:left w:w="0" w:type="dxa"/>
          <w:right w:w="0" w:type="dxa"/>
        </w:tblCellMar>
        <w:tblLook w:val="04A0" w:firstRow="1" w:lastRow="0" w:firstColumn="1" w:lastColumn="0" w:noHBand="0" w:noVBand="1"/>
      </w:tblPr>
      <w:tblGrid>
        <w:gridCol w:w="2835"/>
        <w:gridCol w:w="2929"/>
        <w:gridCol w:w="1987"/>
        <w:gridCol w:w="2582"/>
      </w:tblGrid>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b/>
                <w:bCs/>
                <w:szCs w:val="20"/>
              </w:rPr>
            </w:pPr>
            <w:r>
              <w:rPr>
                <w:rFonts w:eastAsia="宋体"/>
                <w:b/>
                <w:bCs/>
                <w:szCs w:val="20"/>
              </w:rPr>
              <w:t>ITU candidate TPR</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b/>
                <w:szCs w:val="20"/>
              </w:rPr>
            </w:pPr>
            <w:r>
              <w:rPr>
                <w:rFonts w:eastAsia="宋体"/>
                <w:b/>
                <w:szCs w:val="20"/>
              </w:rPr>
              <w:t>Target value of IMT 2030</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b/>
                <w:szCs w:val="20"/>
              </w:rPr>
            </w:pPr>
            <w:r>
              <w:rPr>
                <w:rFonts w:eastAsia="宋体"/>
                <w:b/>
                <w:szCs w:val="20"/>
              </w:rPr>
              <w:t>Notes</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Cs w:val="20"/>
              </w:rPr>
            </w:pPr>
            <w:r>
              <w:rPr>
                <w:rFonts w:eastAsia="宋体"/>
                <w:b/>
                <w:bCs/>
                <w:szCs w:val="20"/>
              </w:rPr>
              <w:t>Target value of IMT2020</w:t>
            </w:r>
          </w:p>
        </w:tc>
      </w:tr>
      <w:tr w:rsidR="004D6274">
        <w:trPr>
          <w:trHeight w:val="595"/>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Peak data rate</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DL: 100, UL: 50 Gbit/s.</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5xIMT-2020</w:t>
            </w:r>
          </w:p>
          <w:p w:rsidR="004D6274" w:rsidRDefault="00585D9D">
            <w:pPr>
              <w:snapToGrid w:val="0"/>
              <w:spacing w:after="0" w:line="240" w:lineRule="auto"/>
              <w:rPr>
                <w:rFonts w:eastAsia="宋体"/>
                <w:sz w:val="18"/>
                <w:szCs w:val="18"/>
              </w:rPr>
            </w:pPr>
            <w:r>
              <w:rPr>
                <w:rFonts w:eastAsia="宋体"/>
                <w:sz w:val="18"/>
                <w:szCs w:val="18"/>
              </w:rPr>
              <w:t xml:space="preserve">Related to the increase of bandwidth, number of </w:t>
            </w:r>
            <w:r>
              <w:rPr>
                <w:rFonts w:eastAsia="宋体"/>
                <w:sz w:val="18"/>
                <w:szCs w:val="18"/>
              </w:rPr>
              <w:lastRenderedPageBreak/>
              <w:t>antenna elements, modulation order, etc</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lastRenderedPageBreak/>
              <w:t>– Downlink peak data rate is 20 Gbit/s.</w:t>
            </w:r>
            <w:r>
              <w:rPr>
                <w:rFonts w:eastAsia="宋体"/>
                <w:sz w:val="18"/>
                <w:szCs w:val="18"/>
              </w:rPr>
              <w:br/>
            </w:r>
            <w:r>
              <w:rPr>
                <w:rFonts w:eastAsia="宋体"/>
                <w:sz w:val="18"/>
                <w:szCs w:val="18"/>
              </w:rPr>
              <w:lastRenderedPageBreak/>
              <w:t>– Uplink peak data rate is 10 Gbit/s.</w:t>
            </w:r>
          </w:p>
        </w:tc>
      </w:tr>
      <w:tr w:rsidR="004D6274">
        <w:trPr>
          <w:trHeight w:val="595"/>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lastRenderedPageBreak/>
              <w:t>Peak spectral efficiency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DL: 75, UL: 37.5 bit/s/Hz</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2.5xIMT-2020</w:t>
            </w:r>
          </w:p>
          <w:p w:rsidR="004D6274" w:rsidRDefault="00585D9D">
            <w:pPr>
              <w:snapToGrid w:val="0"/>
              <w:spacing w:after="0" w:line="240" w:lineRule="auto"/>
              <w:rPr>
                <w:rFonts w:eastAsia="宋体"/>
                <w:sz w:val="18"/>
                <w:szCs w:val="18"/>
              </w:rPr>
            </w:pPr>
            <w:r>
              <w:rPr>
                <w:rFonts w:eastAsia="宋体"/>
                <w:sz w:val="18"/>
                <w:szCs w:val="18"/>
              </w:rPr>
              <w:t>Related to the increase of BS/UE antenna elements number, modulation order, etc</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 Downlink peak spectral efficiency is 30 bit/s/Hz.</w:t>
            </w:r>
            <w:r>
              <w:rPr>
                <w:rFonts w:eastAsia="宋体"/>
                <w:sz w:val="18"/>
                <w:szCs w:val="18"/>
              </w:rPr>
              <w:br/>
              <w:t>– Uplink peak spectral efficiency is 15 bit/s/Hz.</w:t>
            </w:r>
          </w:p>
        </w:tc>
      </w:tr>
      <w:tr w:rsidR="004D6274">
        <w:trPr>
          <w:trHeight w:val="595"/>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User experienced data rate</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DL: 500, UL: 250 Mbit/s.</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5x IMT-2020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 Downlink user experienced data rate is 100 Mbit/s.</w:t>
            </w:r>
            <w:r>
              <w:rPr>
                <w:rFonts w:eastAsia="宋体"/>
                <w:sz w:val="18"/>
                <w:szCs w:val="18"/>
              </w:rPr>
              <w:br/>
              <w:t>– Uplink user experienced data rate is 50 Mbit/s.</w:t>
            </w:r>
          </w:p>
        </w:tc>
      </w:tr>
      <w:tr w:rsidR="004D6274">
        <w:trPr>
          <w:trHeight w:val="893"/>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5th percentile user spectral efficiency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Indoor Hotspot 0.75(DL), 0.63 (UL)</w:t>
            </w:r>
            <w:r>
              <w:rPr>
                <w:rFonts w:eastAsia="宋体"/>
                <w:sz w:val="18"/>
                <w:szCs w:val="18"/>
              </w:rPr>
              <w:br/>
              <w:t>Dense Urban 0.563(DL), 0.45(UL)</w:t>
            </w:r>
            <w:r>
              <w:rPr>
                <w:rFonts w:eastAsia="宋体"/>
                <w:sz w:val="18"/>
                <w:szCs w:val="18"/>
              </w:rPr>
              <w:br/>
              <w:t>Rural 0.36(DL), 0.135(UL) bit/s/Hz</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2.5~3x IMT2020</w:t>
            </w:r>
          </w:p>
          <w:p w:rsidR="004D6274" w:rsidRDefault="00585D9D">
            <w:pPr>
              <w:snapToGrid w:val="0"/>
              <w:spacing w:after="0" w:line="240" w:lineRule="auto"/>
              <w:rPr>
                <w:rFonts w:eastAsia="宋体"/>
                <w:sz w:val="18"/>
                <w:szCs w:val="18"/>
              </w:rPr>
            </w:pPr>
            <w:r>
              <w:rPr>
                <w:rFonts w:eastAsia="宋体"/>
                <w:sz w:val="18"/>
                <w:szCs w:val="18"/>
              </w:rPr>
              <w:t>Preliminary simulation result can be found in Appendix</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(bit/s/Hz)</w:t>
            </w:r>
            <w:r>
              <w:rPr>
                <w:rFonts w:eastAsia="宋体"/>
                <w:sz w:val="18"/>
                <w:szCs w:val="18"/>
              </w:rPr>
              <w:br/>
              <w:t>Indoor Hotspot – eMBB 0.3(DL) 0.21(UL)</w:t>
            </w:r>
            <w:r>
              <w:rPr>
                <w:rFonts w:eastAsia="宋体"/>
                <w:sz w:val="18"/>
                <w:szCs w:val="18"/>
              </w:rPr>
              <w:br/>
              <w:t>Dense Urban – eMBB (NOTE 1) 0.225 0.15</w:t>
            </w:r>
            <w:r>
              <w:rPr>
                <w:rFonts w:eastAsia="宋体"/>
                <w:sz w:val="18"/>
                <w:szCs w:val="18"/>
              </w:rPr>
              <w:br/>
              <w:t>Rural – eMBB 0.12 0.045</w:t>
            </w:r>
          </w:p>
        </w:tc>
      </w:tr>
      <w:tr w:rsidR="004D6274">
        <w:trPr>
          <w:trHeight w:val="893"/>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Average spectral efficiency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Indoor Hotspot 22.5(DL)  16.875(UL)</w:t>
            </w:r>
            <w:r>
              <w:rPr>
                <w:rFonts w:eastAsia="宋体"/>
                <w:sz w:val="18"/>
                <w:szCs w:val="18"/>
              </w:rPr>
              <w:br/>
              <w:t>Dense Urban 19.5(DL)  13.5(UL)</w:t>
            </w:r>
            <w:r>
              <w:rPr>
                <w:rFonts w:eastAsia="宋体"/>
                <w:sz w:val="18"/>
                <w:szCs w:val="18"/>
              </w:rPr>
              <w:br/>
              <w:t>Rural 8.25(DL)  4(UL) bit/s/Hz/TRxP</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2.5xIMT-2020</w:t>
            </w:r>
          </w:p>
          <w:p w:rsidR="004D6274" w:rsidRDefault="00585D9D">
            <w:pPr>
              <w:snapToGrid w:val="0"/>
              <w:spacing w:after="0" w:line="240" w:lineRule="auto"/>
              <w:rPr>
                <w:rFonts w:eastAsia="宋体"/>
                <w:sz w:val="18"/>
                <w:szCs w:val="18"/>
              </w:rPr>
            </w:pPr>
            <w:r>
              <w:rPr>
                <w:rFonts w:eastAsia="宋体"/>
                <w:sz w:val="18"/>
                <w:szCs w:val="18"/>
              </w:rPr>
              <w:t>Preliminary simulation result can be found in Appendix</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(bit/s/Hz/TRxP)</w:t>
            </w:r>
            <w:r>
              <w:rPr>
                <w:rFonts w:eastAsia="宋体"/>
                <w:sz w:val="18"/>
                <w:szCs w:val="18"/>
              </w:rPr>
              <w:br/>
              <w:t>Indoor Hotspot – eMBB 9 (DL) 6.75(UL)</w:t>
            </w:r>
            <w:r>
              <w:rPr>
                <w:rFonts w:eastAsia="宋体"/>
                <w:sz w:val="18"/>
                <w:szCs w:val="18"/>
              </w:rPr>
              <w:br/>
              <w:t>Dense Urban – eMBB (Note 1) 7.8 5.4</w:t>
            </w:r>
            <w:r>
              <w:rPr>
                <w:rFonts w:eastAsia="宋体"/>
                <w:sz w:val="18"/>
                <w:szCs w:val="18"/>
              </w:rPr>
              <w:br/>
              <w:t>Rural – eMBB 3.3 1.6</w:t>
            </w:r>
          </w:p>
        </w:tc>
      </w:tr>
      <w:tr w:rsidR="004D6274">
        <w:trPr>
          <w:trHeight w:val="446"/>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Area traffic capacity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Downlink 50 Mbit/s/m2 in the Indoor Hotspot-IC</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5x IMT-2020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Downlink 10 Mbit/s/m2</w:t>
            </w:r>
            <w:r>
              <w:rPr>
                <w:rFonts w:eastAsia="宋体"/>
                <w:sz w:val="18"/>
                <w:szCs w:val="18"/>
              </w:rPr>
              <w:br/>
              <w:t>in the Indoor Hotspot – eMBB</w:t>
            </w:r>
          </w:p>
        </w:tc>
      </w:tr>
      <w:tr w:rsidR="004D6274">
        <w:trPr>
          <w:trHeight w:val="446"/>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User plane latency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1ms for IC</w:t>
            </w:r>
            <w:r>
              <w:rPr>
                <w:rFonts w:eastAsia="宋体"/>
                <w:sz w:val="18"/>
                <w:szCs w:val="18"/>
              </w:rPr>
              <w:br/>
              <w:t>0.5ms HRLLC</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 xml:space="preserve">At least </w:t>
            </w:r>
            <w:r>
              <w:rPr>
                <w:rFonts w:eastAsia="宋体"/>
                <w:sz w:val="18"/>
                <w:szCs w:val="18"/>
              </w:rPr>
              <w:t>1/2  x IMT-2020</w:t>
            </w:r>
          </w:p>
          <w:p w:rsidR="004D6274" w:rsidRDefault="00585D9D">
            <w:pPr>
              <w:snapToGrid w:val="0"/>
              <w:spacing w:after="0" w:line="240" w:lineRule="auto"/>
              <w:rPr>
                <w:rFonts w:eastAsia="宋体"/>
                <w:sz w:val="18"/>
                <w:szCs w:val="18"/>
              </w:rPr>
            </w:pPr>
            <w:r>
              <w:rPr>
                <w:rFonts w:eastAsia="宋体"/>
                <w:sz w:val="18"/>
                <w:szCs w:val="18"/>
              </w:rPr>
              <w:t>Refer to M.2160: target latency could be 0.1-1ms</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4 ms for eMBB</w:t>
            </w:r>
            <w:r>
              <w:rPr>
                <w:rFonts w:eastAsia="宋体"/>
                <w:sz w:val="18"/>
                <w:szCs w:val="18"/>
              </w:rPr>
              <w:br/>
              <w:t>1 ms for URLLC</w:t>
            </w:r>
          </w:p>
        </w:tc>
      </w:tr>
      <w:tr w:rsidR="004D6274">
        <w:trPr>
          <w:trHeight w:val="744"/>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Control plane latency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10ms for 4 step RACH</w:t>
            </w:r>
            <w:r>
              <w:rPr>
                <w:rFonts w:eastAsia="宋体"/>
                <w:sz w:val="18"/>
                <w:szCs w:val="18"/>
              </w:rPr>
              <w:br/>
              <w:t>5ms for 2-step or more direct random access  </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1/2 or 1/4 x IMT-2020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20 ms</w:t>
            </w:r>
            <w:r>
              <w:rPr>
                <w:rFonts w:eastAsia="宋体"/>
                <w:sz w:val="18"/>
                <w:szCs w:val="18"/>
              </w:rPr>
              <w:br/>
              <w:t>consider 10ms</w:t>
            </w:r>
          </w:p>
        </w:tc>
      </w:tr>
      <w:tr w:rsidR="004D6274">
        <w:trPr>
          <w:trHeight w:val="223"/>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Connection density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10^8 devices per km2 for Massive</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100x IMT-2020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1 000 000 devices per km2</w:t>
            </w:r>
          </w:p>
        </w:tc>
      </w:tr>
      <w:tr w:rsidR="004D6274">
        <w:trPr>
          <w:trHeight w:val="104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Mobility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TBD</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4D6274">
            <w:pPr>
              <w:snapToGrid w:val="0"/>
              <w:spacing w:after="0" w:line="240" w:lineRule="auto"/>
              <w:rPr>
                <w:rFonts w:eastAsia="宋体"/>
                <w:sz w:val="18"/>
                <w:szCs w:val="18"/>
              </w:rPr>
            </w:pP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Stationary: 0 km/h</w:t>
            </w:r>
            <w:r>
              <w:rPr>
                <w:rFonts w:eastAsia="宋体"/>
                <w:sz w:val="18"/>
                <w:szCs w:val="18"/>
              </w:rPr>
              <w:br/>
              <w:t>Pedestrian: 0 km/h to 10 km/h</w:t>
            </w:r>
            <w:r>
              <w:rPr>
                <w:rFonts w:eastAsia="宋体"/>
                <w:sz w:val="18"/>
                <w:szCs w:val="18"/>
              </w:rPr>
              <w:br/>
              <w:t>Vehicular: 10 km/h to 120 km/h</w:t>
            </w:r>
            <w:r>
              <w:rPr>
                <w:rFonts w:eastAsia="宋体"/>
                <w:sz w:val="18"/>
                <w:szCs w:val="18"/>
              </w:rPr>
              <w:br/>
              <w:t>High speed vehicular: 120 km/h to 500 km/h.</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Mobility interruption time</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0</w:t>
            </w:r>
            <w:r>
              <w:rPr>
                <w:rFonts w:eastAsia="宋体"/>
                <w:sz w:val="18"/>
                <w:szCs w:val="18"/>
              </w:rPr>
              <w:t>ms</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Same as IMT 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0ms</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Bandwidth</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4</w:t>
            </w:r>
            <w:r>
              <w:rPr>
                <w:rFonts w:eastAsia="宋体"/>
                <w:sz w:val="18"/>
                <w:szCs w:val="18"/>
              </w:rPr>
              <w:t>00 MHz</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4x IMT-2020</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sz w:val="18"/>
                <w:szCs w:val="18"/>
              </w:rPr>
              <w:t>at least 100MHz</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Energy efficiency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T</w:t>
            </w:r>
            <w:r>
              <w:rPr>
                <w:rFonts w:eastAsia="宋体"/>
                <w:sz w:val="18"/>
                <w:szCs w:val="18"/>
              </w:rPr>
              <w:t>BD</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4D6274">
            <w:pPr>
              <w:snapToGrid w:val="0"/>
              <w:spacing w:after="0" w:line="240" w:lineRule="auto"/>
              <w:rPr>
                <w:rFonts w:eastAsia="宋体"/>
                <w:sz w:val="18"/>
                <w:szCs w:val="18"/>
              </w:rPr>
            </w:pP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hint="eastAsia"/>
                <w:sz w:val="18"/>
                <w:szCs w:val="18"/>
              </w:rPr>
              <w:t>/</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Sensing related capability</w:t>
            </w:r>
          </w:p>
          <w:p w:rsidR="004D6274" w:rsidRDefault="00585D9D">
            <w:pPr>
              <w:numPr>
                <w:ilvl w:val="0"/>
                <w:numId w:val="16"/>
              </w:numPr>
              <w:snapToGrid w:val="0"/>
              <w:spacing w:after="0" w:line="240" w:lineRule="auto"/>
              <w:rPr>
                <w:rFonts w:eastAsia="宋体"/>
                <w:sz w:val="18"/>
                <w:szCs w:val="18"/>
                <w:lang w:val="en-GB"/>
              </w:rPr>
            </w:pPr>
            <w:r>
              <w:rPr>
                <w:rFonts w:eastAsia="宋体"/>
                <w:sz w:val="18"/>
                <w:szCs w:val="18"/>
                <w:lang w:val="en-GB"/>
              </w:rPr>
              <w:t>Detectability (Detection / False Alarm Probability)</w:t>
            </w:r>
          </w:p>
          <w:p w:rsidR="004D6274" w:rsidRDefault="00585D9D">
            <w:pPr>
              <w:numPr>
                <w:ilvl w:val="0"/>
                <w:numId w:val="16"/>
              </w:numPr>
              <w:snapToGrid w:val="0"/>
              <w:spacing w:after="0" w:line="240" w:lineRule="auto"/>
              <w:rPr>
                <w:rFonts w:eastAsia="宋体"/>
                <w:sz w:val="18"/>
                <w:szCs w:val="18"/>
                <w:lang w:val="en-GB"/>
              </w:rPr>
            </w:pPr>
            <w:r>
              <w:rPr>
                <w:rFonts w:eastAsia="宋体"/>
                <w:sz w:val="18"/>
                <w:szCs w:val="18"/>
                <w:lang w:val="en-GB"/>
              </w:rPr>
              <w:t>Localization accuracy</w:t>
            </w:r>
          </w:p>
          <w:p w:rsidR="004D6274" w:rsidRDefault="00585D9D">
            <w:pPr>
              <w:numPr>
                <w:ilvl w:val="0"/>
                <w:numId w:val="16"/>
              </w:numPr>
              <w:snapToGrid w:val="0"/>
              <w:spacing w:after="0" w:line="240" w:lineRule="auto"/>
              <w:rPr>
                <w:rFonts w:eastAsia="宋体"/>
                <w:sz w:val="18"/>
                <w:szCs w:val="18"/>
                <w:lang w:val="en-GB"/>
              </w:rPr>
            </w:pPr>
            <w:r>
              <w:rPr>
                <w:rFonts w:eastAsia="宋体"/>
                <w:sz w:val="18"/>
                <w:szCs w:val="18"/>
                <w:lang w:val="en-GB"/>
              </w:rPr>
              <w:t>Velocity accuracy</w:t>
            </w:r>
          </w:p>
          <w:p w:rsidR="004D6274" w:rsidRDefault="00585D9D">
            <w:pPr>
              <w:numPr>
                <w:ilvl w:val="0"/>
                <w:numId w:val="16"/>
              </w:numPr>
              <w:snapToGrid w:val="0"/>
              <w:spacing w:after="0" w:line="240" w:lineRule="auto"/>
              <w:rPr>
                <w:rFonts w:eastAsia="宋体"/>
                <w:sz w:val="18"/>
                <w:szCs w:val="18"/>
                <w:lang w:val="en-GB"/>
              </w:rPr>
            </w:pPr>
            <w:r>
              <w:rPr>
                <w:rFonts w:eastAsia="宋体"/>
                <w:sz w:val="18"/>
                <w:szCs w:val="18"/>
                <w:lang w:val="en-GB"/>
              </w:rPr>
              <w:t>Sensing resolution</w:t>
            </w:r>
          </w:p>
          <w:p w:rsidR="004D6274" w:rsidRDefault="00585D9D">
            <w:pPr>
              <w:numPr>
                <w:ilvl w:val="0"/>
                <w:numId w:val="16"/>
              </w:numPr>
              <w:snapToGrid w:val="0"/>
              <w:spacing w:after="0" w:line="240" w:lineRule="auto"/>
              <w:rPr>
                <w:rFonts w:eastAsia="宋体"/>
                <w:b/>
                <w:sz w:val="18"/>
                <w:szCs w:val="18"/>
                <w:lang w:val="en-GB"/>
              </w:rPr>
            </w:pPr>
            <w:r>
              <w:rPr>
                <w:rFonts w:eastAsia="宋体"/>
                <w:sz w:val="18"/>
                <w:szCs w:val="18"/>
                <w:lang w:val="en-GB"/>
              </w:rPr>
              <w:t>Displacement accuracy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sz w:val="18"/>
                <w:szCs w:val="18"/>
                <w:lang w:val="en-GB"/>
              </w:rPr>
              <w:t>Detection</w:t>
            </w:r>
            <w:r>
              <w:rPr>
                <w:rFonts w:eastAsia="宋体" w:hint="eastAsia"/>
                <w:sz w:val="18"/>
                <w:szCs w:val="18"/>
              </w:rPr>
              <w:t>:</w:t>
            </w:r>
            <w:r>
              <w:rPr>
                <w:rFonts w:eastAsia="宋体"/>
                <w:sz w:val="18"/>
                <w:szCs w:val="18"/>
                <w:lang w:val="en-GB"/>
              </w:rPr>
              <w:t xml:space="preserve"> 95%</w:t>
            </w:r>
          </w:p>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hint="eastAsia"/>
                <w:sz w:val="18"/>
                <w:szCs w:val="18"/>
              </w:rPr>
              <w:t>F</w:t>
            </w:r>
            <w:r>
              <w:rPr>
                <w:rFonts w:eastAsia="宋体"/>
                <w:sz w:val="18"/>
                <w:szCs w:val="18"/>
                <w:lang w:val="en-GB"/>
              </w:rPr>
              <w:t xml:space="preserve">alse alarm: 5% </w:t>
            </w:r>
          </w:p>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hint="eastAsia"/>
                <w:sz w:val="18"/>
                <w:szCs w:val="18"/>
              </w:rPr>
              <w:t>H</w:t>
            </w:r>
            <w:r>
              <w:rPr>
                <w:rFonts w:eastAsia="宋体"/>
                <w:sz w:val="18"/>
                <w:szCs w:val="18"/>
                <w:lang w:val="en-GB"/>
              </w:rPr>
              <w:t>orizontal accuracy</w:t>
            </w:r>
            <w:r>
              <w:rPr>
                <w:rFonts w:eastAsia="宋体" w:hint="eastAsia"/>
                <w:sz w:val="18"/>
                <w:szCs w:val="18"/>
              </w:rPr>
              <w:t>:</w:t>
            </w:r>
            <w:r>
              <w:rPr>
                <w:rFonts w:eastAsia="宋体"/>
                <w:sz w:val="18"/>
                <w:szCs w:val="18"/>
                <w:lang w:val="en-GB"/>
              </w:rPr>
              <w:t xml:space="preserve"> 2m </w:t>
            </w:r>
          </w:p>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hint="eastAsia"/>
                <w:sz w:val="18"/>
                <w:szCs w:val="18"/>
              </w:rPr>
              <w:t>V</w:t>
            </w:r>
            <w:r>
              <w:rPr>
                <w:rFonts w:eastAsia="宋体"/>
                <w:sz w:val="18"/>
                <w:szCs w:val="18"/>
                <w:lang w:val="en-GB"/>
              </w:rPr>
              <w:t>ertical localization accuracy</w:t>
            </w:r>
            <w:r>
              <w:rPr>
                <w:rFonts w:eastAsia="宋体" w:hint="eastAsia"/>
                <w:sz w:val="18"/>
                <w:szCs w:val="18"/>
              </w:rPr>
              <w:t>:</w:t>
            </w:r>
            <w:r>
              <w:rPr>
                <w:rFonts w:eastAsia="宋体"/>
                <w:sz w:val="18"/>
                <w:szCs w:val="18"/>
                <w:lang w:val="en-GB"/>
              </w:rPr>
              <w:t xml:space="preserve"> 5m </w:t>
            </w:r>
          </w:p>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hint="eastAsia"/>
                <w:sz w:val="18"/>
                <w:szCs w:val="18"/>
              </w:rPr>
              <w:t>V</w:t>
            </w:r>
            <w:r>
              <w:rPr>
                <w:rFonts w:eastAsia="宋体"/>
                <w:sz w:val="18"/>
                <w:szCs w:val="18"/>
                <w:lang w:val="en-GB"/>
              </w:rPr>
              <w:t xml:space="preserve">elocity accuracy </w:t>
            </w:r>
            <w:r>
              <w:rPr>
                <w:rFonts w:eastAsia="宋体" w:hint="eastAsia"/>
                <w:sz w:val="18"/>
                <w:szCs w:val="18"/>
              </w:rPr>
              <w:t>:</w:t>
            </w:r>
            <w:r>
              <w:rPr>
                <w:rFonts w:eastAsia="宋体"/>
                <w:sz w:val="18"/>
                <w:szCs w:val="18"/>
                <w:lang w:val="en-GB"/>
              </w:rPr>
              <w:t>1m/s.</w:t>
            </w:r>
          </w:p>
          <w:p w:rsidR="004D6274" w:rsidRDefault="00585D9D" w:rsidP="00D67773">
            <w:pPr>
              <w:numPr>
                <w:ilvl w:val="0"/>
                <w:numId w:val="25"/>
              </w:numPr>
              <w:snapToGrid w:val="0"/>
              <w:spacing w:after="0" w:line="240" w:lineRule="auto"/>
              <w:ind w:left="216" w:hanging="216"/>
              <w:rPr>
                <w:rFonts w:eastAsia="宋体"/>
                <w:sz w:val="18"/>
                <w:szCs w:val="18"/>
              </w:rPr>
            </w:pPr>
            <w:r>
              <w:rPr>
                <w:rFonts w:eastAsia="宋体" w:hint="eastAsia"/>
                <w:sz w:val="18"/>
                <w:szCs w:val="18"/>
              </w:rPr>
              <w:t>Displacement accuracy: 1 cm</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Refer to TS 22.137 sensing service category 2</w:t>
            </w:r>
          </w:p>
          <w:p w:rsidR="004D6274" w:rsidRDefault="00585D9D">
            <w:pPr>
              <w:snapToGrid w:val="0"/>
              <w:spacing w:after="0" w:line="240" w:lineRule="auto"/>
              <w:rPr>
                <w:rFonts w:eastAsia="宋体"/>
                <w:sz w:val="18"/>
                <w:szCs w:val="18"/>
              </w:rPr>
            </w:pPr>
            <w:r>
              <w:rPr>
                <w:rFonts w:eastAsia="宋体"/>
                <w:sz w:val="18"/>
                <w:szCs w:val="18"/>
              </w:rPr>
              <w:t>Preliminary simulation result can be found in Appendix</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hint="eastAsia"/>
                <w:sz w:val="18"/>
                <w:szCs w:val="18"/>
              </w:rPr>
              <w:t>/</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sz w:val="18"/>
                <w:szCs w:val="18"/>
              </w:rPr>
              <w:t>Composite requirement on data rate, latency, reliability and capacity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T</w:t>
            </w:r>
            <w:r>
              <w:rPr>
                <w:rFonts w:eastAsia="宋体"/>
                <w:sz w:val="18"/>
                <w:szCs w:val="18"/>
              </w:rPr>
              <w:t>BD</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P</w:t>
            </w:r>
            <w:r>
              <w:rPr>
                <w:rFonts w:eastAsia="宋体"/>
                <w:sz w:val="18"/>
                <w:szCs w:val="18"/>
              </w:rPr>
              <w:t>reliminary simulation result can be found in Appendix</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hint="eastAsia"/>
                <w:sz w:val="18"/>
                <w:szCs w:val="18"/>
              </w:rPr>
              <w:t>/</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P</w:t>
            </w:r>
            <w:r>
              <w:rPr>
                <w:rFonts w:eastAsia="宋体"/>
                <w:sz w:val="18"/>
                <w:szCs w:val="18"/>
              </w:rPr>
              <w:t>ositioning</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I</w:t>
            </w:r>
            <w:r>
              <w:rPr>
                <w:rFonts w:eastAsia="宋体"/>
                <w:sz w:val="18"/>
                <w:szCs w:val="18"/>
              </w:rPr>
              <w:t>ndoor factory: 0.05m-1m</w:t>
            </w:r>
          </w:p>
          <w:p w:rsidR="004D6274" w:rsidRDefault="00585D9D">
            <w:pPr>
              <w:snapToGrid w:val="0"/>
              <w:spacing w:after="0" w:line="240" w:lineRule="auto"/>
              <w:rPr>
                <w:rFonts w:eastAsia="宋体"/>
                <w:sz w:val="18"/>
                <w:szCs w:val="18"/>
              </w:rPr>
            </w:pPr>
            <w:r>
              <w:rPr>
                <w:rFonts w:eastAsia="宋体"/>
                <w:sz w:val="18"/>
                <w:szCs w:val="18"/>
              </w:rPr>
              <w:t>outdoor: 1m-3m</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R</w:t>
            </w:r>
            <w:r>
              <w:rPr>
                <w:rFonts w:eastAsia="宋体"/>
                <w:sz w:val="18"/>
                <w:szCs w:val="18"/>
              </w:rPr>
              <w:t>efer to TR 38.859</w:t>
            </w: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hint="eastAsia"/>
                <w:sz w:val="18"/>
                <w:szCs w:val="18"/>
              </w:rPr>
              <w:t>/</w:t>
            </w:r>
          </w:p>
        </w:tc>
      </w:tr>
      <w:tr w:rsidR="004D6274">
        <w:trPr>
          <w:trHeight w:val="148"/>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A</w:t>
            </w:r>
            <w:r>
              <w:rPr>
                <w:rFonts w:eastAsia="宋体"/>
                <w:sz w:val="18"/>
                <w:szCs w:val="18"/>
              </w:rPr>
              <w:t>I service latency</w:t>
            </w:r>
          </w:p>
        </w:tc>
        <w:tc>
          <w:tcPr>
            <w:tcW w:w="2929"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585D9D">
            <w:pPr>
              <w:snapToGrid w:val="0"/>
              <w:spacing w:after="0" w:line="240" w:lineRule="auto"/>
              <w:rPr>
                <w:rFonts w:eastAsia="宋体"/>
                <w:sz w:val="18"/>
                <w:szCs w:val="18"/>
              </w:rPr>
            </w:pPr>
            <w:r>
              <w:rPr>
                <w:rFonts w:eastAsia="宋体" w:hint="eastAsia"/>
                <w:sz w:val="18"/>
                <w:szCs w:val="18"/>
              </w:rPr>
              <w:t>T</w:t>
            </w:r>
            <w:r>
              <w:rPr>
                <w:rFonts w:eastAsia="宋体"/>
                <w:sz w:val="18"/>
                <w:szCs w:val="18"/>
              </w:rPr>
              <w:t>BD</w:t>
            </w:r>
          </w:p>
        </w:tc>
        <w:tc>
          <w:tcPr>
            <w:tcW w:w="1987"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rsidR="004D6274" w:rsidRDefault="004D6274">
            <w:pPr>
              <w:snapToGrid w:val="0"/>
              <w:spacing w:after="0" w:line="240" w:lineRule="auto"/>
              <w:rPr>
                <w:rFonts w:eastAsia="宋体"/>
                <w:sz w:val="18"/>
                <w:szCs w:val="18"/>
              </w:rPr>
            </w:pPr>
          </w:p>
        </w:tc>
        <w:tc>
          <w:tcPr>
            <w:tcW w:w="2582" w:type="dxa"/>
            <w:tcBorders>
              <w:top w:val="single" w:sz="6" w:space="0" w:color="auto"/>
              <w:left w:val="single" w:sz="6" w:space="0" w:color="auto"/>
              <w:bottom w:val="single" w:sz="6" w:space="0" w:color="auto"/>
              <w:right w:val="single" w:sz="6" w:space="0" w:color="auto"/>
            </w:tcBorders>
            <w:shd w:val="clear" w:color="auto" w:fill="FFFFFF"/>
            <w:vAlign w:val="center"/>
          </w:tcPr>
          <w:p w:rsidR="004D6274" w:rsidRDefault="00585D9D">
            <w:pPr>
              <w:snapToGrid w:val="0"/>
              <w:spacing w:after="0" w:line="240" w:lineRule="auto"/>
              <w:rPr>
                <w:rFonts w:eastAsia="宋体"/>
                <w:sz w:val="18"/>
                <w:szCs w:val="18"/>
              </w:rPr>
            </w:pPr>
            <w:r>
              <w:rPr>
                <w:rFonts w:eastAsia="宋体" w:hint="eastAsia"/>
                <w:sz w:val="18"/>
                <w:szCs w:val="18"/>
              </w:rPr>
              <w:t>/</w:t>
            </w:r>
          </w:p>
        </w:tc>
      </w:tr>
    </w:tbl>
    <w:p w:rsidR="004D6274" w:rsidRDefault="004D6274">
      <w:pPr>
        <w:snapToGrid w:val="0"/>
        <w:rPr>
          <w:rFonts w:eastAsiaTheme="minorEastAsia"/>
        </w:rPr>
      </w:pPr>
    </w:p>
    <w:p w:rsidR="004D6274" w:rsidRDefault="00585D9D">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G</w:t>
      </w:r>
      <w:r>
        <w:rPr>
          <w:rFonts w:eastAsia="Arial Unicode MS"/>
          <w:b/>
          <w:bCs/>
          <w:sz w:val="28"/>
          <w:szCs w:val="28"/>
        </w:rPr>
        <w:t xml:space="preserve">eneral 6G RAN study </w:t>
      </w:r>
    </w:p>
    <w:p w:rsidR="004D6274" w:rsidRDefault="00585D9D">
      <w:pPr>
        <w:snapToGrid w:val="0"/>
        <w:spacing w:beforeLines="50" w:before="120" w:after="120" w:line="240" w:lineRule="auto"/>
        <w:jc w:val="both"/>
        <w:rPr>
          <w:i/>
        </w:rPr>
      </w:pPr>
      <w:r>
        <w:rPr>
          <w:rFonts w:eastAsiaTheme="minorEastAsia" w:hint="eastAsia"/>
        </w:rPr>
        <w:t xml:space="preserve">To gain some useful insight and facilitate potential scope discussion for the Rel-20 SI focusing ITU IMT-2030, it's worthwhile to review the 5G radio requirement study work, i.e. </w:t>
      </w:r>
      <w:r>
        <w:rPr>
          <w:rFonts w:eastAsiaTheme="minorEastAsia"/>
          <w:i/>
        </w:rPr>
        <w:t>Study on Scenarios and Requirements for Next Generation Access Technologies</w:t>
      </w:r>
      <w:r>
        <w:rPr>
          <w:rFonts w:eastAsiaTheme="minorEastAsia" w:hint="eastAsia"/>
        </w:rPr>
        <w:t>. The study consisted of the following major milestones:</w:t>
      </w:r>
    </w:p>
    <w:p w:rsidR="004D6274" w:rsidRDefault="00585D9D">
      <w:pPr>
        <w:pStyle w:val="aff0"/>
        <w:numPr>
          <w:ilvl w:val="0"/>
          <w:numId w:val="19"/>
        </w:numPr>
        <w:snapToGrid w:val="0"/>
        <w:spacing w:beforeLines="50" w:before="120" w:after="120" w:line="240" w:lineRule="auto"/>
        <w:ind w:firstLineChars="0"/>
        <w:jc w:val="both"/>
        <w:rPr>
          <w:rFonts w:eastAsiaTheme="minorEastAsia"/>
        </w:rPr>
      </w:pPr>
      <w:r>
        <w:rPr>
          <w:rFonts w:eastAsiaTheme="minorEastAsia" w:hint="eastAsia"/>
        </w:rPr>
        <w:t xml:space="preserve">Approval of the SID </w:t>
      </w:r>
      <w:r>
        <w:rPr>
          <w:rFonts w:eastAsiaTheme="minorEastAsia"/>
        </w:rPr>
        <w:t>RP-152257 [2]</w:t>
      </w:r>
      <w:r>
        <w:rPr>
          <w:rFonts w:eastAsiaTheme="minorEastAsia" w:hint="eastAsia"/>
        </w:rPr>
        <w:t xml:space="preserve"> in RAN#70, Dec. 2015</w:t>
      </w:r>
    </w:p>
    <w:p w:rsidR="004D6274" w:rsidRDefault="00585D9D">
      <w:pPr>
        <w:pStyle w:val="aff0"/>
        <w:numPr>
          <w:ilvl w:val="0"/>
          <w:numId w:val="19"/>
        </w:numPr>
        <w:snapToGrid w:val="0"/>
        <w:spacing w:beforeLines="50" w:before="120" w:after="120" w:line="240" w:lineRule="auto"/>
        <w:ind w:firstLineChars="0"/>
        <w:jc w:val="both"/>
        <w:rPr>
          <w:rFonts w:eastAsiaTheme="minorEastAsia"/>
        </w:rPr>
      </w:pPr>
      <w:r>
        <w:rPr>
          <w:rFonts w:eastAsiaTheme="minorEastAsia" w:hint="eastAsia"/>
        </w:rPr>
        <w:t>Approval of TR 38.913 v0.4.0 after RAN#72 (endorsed via Email discussion after RAN#72) with sufficient inputs on section 6 Scenarios and section 7 Key performance indicators</w:t>
      </w:r>
    </w:p>
    <w:p w:rsidR="004D6274" w:rsidRDefault="00585D9D">
      <w:pPr>
        <w:pStyle w:val="aff0"/>
        <w:numPr>
          <w:ilvl w:val="0"/>
          <w:numId w:val="19"/>
        </w:numPr>
        <w:snapToGrid w:val="0"/>
        <w:spacing w:beforeLines="50" w:before="120" w:after="120" w:line="240" w:lineRule="auto"/>
        <w:ind w:firstLineChars="0"/>
        <w:jc w:val="both"/>
        <w:rPr>
          <w:rFonts w:eastAsiaTheme="minorEastAsia"/>
        </w:rPr>
      </w:pPr>
      <w:r>
        <w:rPr>
          <w:rFonts w:eastAsiaTheme="minorEastAsia" w:hint="eastAsia"/>
        </w:rPr>
        <w:t>Further discussion till RAN#75 and finalization of TR 38.913 considering input from ITU-R WP5D work</w:t>
      </w:r>
    </w:p>
    <w:p w:rsidR="004D6274" w:rsidRDefault="00585D9D">
      <w:pPr>
        <w:snapToGrid w:val="0"/>
        <w:spacing w:beforeLines="50" w:before="120" w:after="120" w:line="240" w:lineRule="auto"/>
        <w:rPr>
          <w:rFonts w:eastAsiaTheme="minorEastAsia"/>
        </w:rPr>
      </w:pPr>
      <w:r>
        <w:rPr>
          <w:rFonts w:eastAsiaTheme="minorEastAsia"/>
        </w:rPr>
        <w:t>The objectives of the 5G RAN-level SID [2] are shown as follows:</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274">
        <w:tc>
          <w:tcPr>
            <w:tcW w:w="9460" w:type="dxa"/>
          </w:tcPr>
          <w:p w:rsidR="004D6274" w:rsidRDefault="00585D9D">
            <w:pPr>
              <w:snapToGrid w:val="0"/>
              <w:spacing w:beforeLines="50" w:before="120" w:after="120" w:line="240" w:lineRule="auto"/>
              <w:ind w:right="-99"/>
              <w:jc w:val="both"/>
              <w:rPr>
                <w:iCs/>
              </w:rPr>
            </w:pPr>
            <w:r>
              <w:rPr>
                <w:iCs/>
                <w:lang w:eastAsia="ko-KR"/>
              </w:rPr>
              <w:t>The study item aims to develop</w:t>
            </w:r>
            <w:r>
              <w:rPr>
                <w:rFonts w:eastAsia="MS Mincho"/>
                <w:iCs/>
              </w:rPr>
              <w:t xml:space="preserve"> deployment </w:t>
            </w:r>
            <w:r>
              <w:rPr>
                <w:iCs/>
                <w:lang w:eastAsia="ko-KR"/>
              </w:rPr>
              <w:t xml:space="preserve">scenarios and requirements of next generation access technologies, and </w:t>
            </w:r>
            <w:r>
              <w:rPr>
                <w:rFonts w:eastAsia="Malgun Gothic"/>
                <w:iCs/>
                <w:lang w:eastAsia="ko-KR"/>
              </w:rPr>
              <w:t xml:space="preserve">to </w:t>
            </w:r>
            <w:r>
              <w:rPr>
                <w:iCs/>
                <w:lang w:eastAsia="ko-KR"/>
              </w:rPr>
              <w:t xml:space="preserve">provide guidance to the </w:t>
            </w:r>
            <w:r>
              <w:rPr>
                <w:rFonts w:eastAsia="Malgun Gothic"/>
                <w:iCs/>
                <w:lang w:eastAsia="ko-KR"/>
              </w:rPr>
              <w:t>technical</w:t>
            </w:r>
            <w:r>
              <w:rPr>
                <w:iCs/>
              </w:rPr>
              <w:t xml:space="preserve"> </w:t>
            </w:r>
            <w:r>
              <w:rPr>
                <w:iCs/>
                <w:lang w:eastAsia="ko-KR"/>
              </w:rPr>
              <w:t>work</w:t>
            </w:r>
            <w:r>
              <w:rPr>
                <w:rFonts w:eastAsia="Malgun Gothic"/>
                <w:iCs/>
                <w:lang w:eastAsia="ko-KR"/>
              </w:rPr>
              <w:t xml:space="preserve"> to be performed in RAN WGs</w:t>
            </w:r>
            <w:r>
              <w:rPr>
                <w:iCs/>
                <w:lang w:eastAsia="ko-KR"/>
              </w:rPr>
              <w:t>. In order to achieve this, the study item should fulfil the following objectives:</w:t>
            </w:r>
          </w:p>
          <w:p w:rsidR="004D6274" w:rsidRDefault="00585D9D">
            <w:pPr>
              <w:pStyle w:val="Style124"/>
              <w:numPr>
                <w:ilvl w:val="0"/>
                <w:numId w:val="20"/>
              </w:numPr>
              <w:overflowPunct/>
              <w:snapToGrid w:val="0"/>
              <w:spacing w:beforeLines="50" w:before="120" w:after="120"/>
              <w:ind w:firstLineChars="0"/>
              <w:jc w:val="both"/>
              <w:textAlignment w:val="auto"/>
              <w:rPr>
                <w:iCs/>
                <w:lang w:val="en-US"/>
              </w:rPr>
            </w:pPr>
            <w:r>
              <w:rPr>
                <w:iCs/>
                <w:lang w:val="en-US"/>
              </w:rPr>
              <w:t>Identify the typical deployment scenarios associated with attributes such as carrier frequency, inter-site distance, user density, maximum mobility speed, etc.</w:t>
            </w:r>
          </w:p>
          <w:p w:rsidR="004D6274" w:rsidRDefault="00585D9D">
            <w:pPr>
              <w:pStyle w:val="Style124"/>
              <w:numPr>
                <w:ilvl w:val="0"/>
                <w:numId w:val="20"/>
              </w:numPr>
              <w:overflowPunct/>
              <w:snapToGrid w:val="0"/>
              <w:spacing w:beforeLines="50" w:before="120" w:after="120"/>
              <w:ind w:firstLineChars="0"/>
              <w:jc w:val="both"/>
              <w:textAlignment w:val="auto"/>
              <w:rPr>
                <w:iCs/>
                <w:lang w:val="en-US"/>
              </w:rPr>
            </w:pPr>
            <w:r>
              <w:rPr>
                <w:iCs/>
                <w:lang w:val="en-US" w:eastAsia="zh-CN"/>
              </w:rPr>
              <w:t>D</w:t>
            </w:r>
            <w:r>
              <w:rPr>
                <w:iCs/>
                <w:lang w:val="en-US"/>
              </w:rPr>
              <w:t>evelop</w:t>
            </w:r>
            <w:r>
              <w:rPr>
                <w:iCs/>
                <w:lang w:val="en-US" w:eastAsia="zh-CN"/>
              </w:rPr>
              <w:t xml:space="preserve"> specific</w:t>
            </w:r>
            <w:r>
              <w:rPr>
                <w:iCs/>
                <w:lang w:val="en-US"/>
              </w:rPr>
              <w:t xml:space="preserve"> requirements for next generation access technologies for the identified deployment scenarios.</w:t>
            </w:r>
          </w:p>
          <w:p w:rsidR="004D6274" w:rsidRDefault="00585D9D">
            <w:pPr>
              <w:pStyle w:val="Style124"/>
              <w:snapToGrid w:val="0"/>
              <w:spacing w:beforeLines="50" w:before="120" w:after="120"/>
              <w:ind w:right="-99" w:firstLineChars="0" w:firstLine="0"/>
              <w:jc w:val="both"/>
              <w:rPr>
                <w:rFonts w:eastAsiaTheme="minorEastAsia"/>
              </w:rPr>
            </w:pPr>
            <w:r>
              <w:rPr>
                <w:iCs/>
                <w:lang w:eastAsia="zh-CN"/>
              </w:rPr>
              <w:t xml:space="preserve">To complete the above work, </w:t>
            </w:r>
            <w:r>
              <w:rPr>
                <w:iCs/>
              </w:rPr>
              <w:t>the inputs from other organizations could be referred</w:t>
            </w:r>
            <w:r>
              <w:rPr>
                <w:rFonts w:eastAsia="Malgun Gothic"/>
                <w:iCs/>
                <w:lang w:eastAsia="ko-KR"/>
              </w:rPr>
              <w:t xml:space="preserve"> to</w:t>
            </w:r>
            <w:r>
              <w:rPr>
                <w:iCs/>
              </w:rPr>
              <w:t>.</w:t>
            </w:r>
          </w:p>
        </w:tc>
      </w:tr>
    </w:tbl>
    <w:p w:rsidR="004D6274" w:rsidRDefault="004D6274">
      <w:pPr>
        <w:snapToGrid w:val="0"/>
        <w:spacing w:beforeLines="50" w:before="120" w:after="120" w:line="240" w:lineRule="auto"/>
        <w:rPr>
          <w:rFonts w:eastAsiaTheme="minorEastAsia"/>
        </w:rPr>
      </w:pPr>
    </w:p>
    <w:p w:rsidR="004D6274" w:rsidRDefault="00585D9D">
      <w:pPr>
        <w:snapToGrid w:val="0"/>
        <w:spacing w:beforeLines="50" w:before="120" w:afterLines="50" w:after="120" w:line="240" w:lineRule="auto"/>
        <w:jc w:val="both"/>
        <w:rPr>
          <w:rFonts w:eastAsiaTheme="minorEastAsia"/>
        </w:rPr>
      </w:pPr>
      <w:r>
        <w:rPr>
          <w:rFonts w:eastAsiaTheme="minorEastAsia" w:hint="eastAsia"/>
        </w:rPr>
        <w:t>For 6G, t</w:t>
      </w:r>
      <w:r>
        <w:rPr>
          <w:rFonts w:eastAsiaTheme="minorEastAsia"/>
        </w:rPr>
        <w:t xml:space="preserve">he first study will focus on ITU IMT-2030 which refers to IMT-2030 Technical Performance Requirements (TPRs) being discussed in ITU-R WP5D </w:t>
      </w:r>
      <w:r>
        <w:rPr>
          <w:rFonts w:eastAsiaTheme="minorEastAsia" w:hint="eastAsia"/>
        </w:rPr>
        <w:t>as described in section 1</w:t>
      </w:r>
      <w:r>
        <w:rPr>
          <w:rFonts w:eastAsiaTheme="minorEastAsia"/>
        </w:rPr>
        <w:t xml:space="preserve">. The second study will focus on 6G general part </w:t>
      </w:r>
      <w:r>
        <w:rPr>
          <w:rFonts w:eastAsiaTheme="minorEastAsia" w:hint="eastAsia"/>
        </w:rPr>
        <w:t>which can</w:t>
      </w:r>
      <w:r>
        <w:rPr>
          <w:rFonts w:eastAsiaTheme="minorEastAsia"/>
        </w:rPr>
        <w:t xml:space="preserve"> be similar to the 5G SID</w:t>
      </w:r>
      <w:r>
        <w:rPr>
          <w:rFonts w:eastAsiaTheme="minorEastAsia" w:hint="eastAsia"/>
        </w:rPr>
        <w:t xml:space="preserve"> </w:t>
      </w:r>
      <w:r>
        <w:rPr>
          <w:rFonts w:eastAsiaTheme="minorEastAsia"/>
        </w:rPr>
        <w:t>[2].  Different from the first SI, the</w:t>
      </w:r>
      <w:r>
        <w:rPr>
          <w:rFonts w:eastAsiaTheme="minorEastAsia" w:hint="eastAsia"/>
        </w:rPr>
        <w:t xml:space="preserve"> scenarios and</w:t>
      </w:r>
      <w:r>
        <w:rPr>
          <w:rFonts w:eastAsiaTheme="minorEastAsia"/>
        </w:rPr>
        <w:t xml:space="preserve"> requirements discussed in the second SI are not limited to TPR discussed in ITU-R WP5D.</w:t>
      </w:r>
      <w:r>
        <w:rPr>
          <w:rFonts w:eastAsiaTheme="minorEastAsia" w:hint="eastAsia"/>
        </w:rPr>
        <w:t xml:space="preserve"> Our suggestion on objectives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6274">
        <w:trPr>
          <w:trHeight w:val="2213"/>
        </w:trPr>
        <w:tc>
          <w:tcPr>
            <w:tcW w:w="9576" w:type="dxa"/>
          </w:tcPr>
          <w:p w:rsidR="004D6274" w:rsidRDefault="00585D9D">
            <w:pPr>
              <w:snapToGrid w:val="0"/>
              <w:spacing w:beforeLines="50" w:before="120" w:afterLines="50" w:after="120" w:line="240" w:lineRule="auto"/>
              <w:rPr>
                <w:bCs/>
              </w:rPr>
            </w:pPr>
            <w:r>
              <w:rPr>
                <w:bCs/>
              </w:rPr>
              <w:t xml:space="preserve">This study item aims to </w:t>
            </w:r>
          </w:p>
          <w:p w:rsidR="004D6274" w:rsidRDefault="00585D9D" w:rsidP="00EA3BB9">
            <w:pPr>
              <w:pStyle w:val="aff0"/>
              <w:numPr>
                <w:ilvl w:val="0"/>
                <w:numId w:val="26"/>
              </w:numPr>
              <w:snapToGrid w:val="0"/>
              <w:spacing w:beforeLines="50" w:before="120" w:afterLines="50" w:after="120" w:line="240" w:lineRule="auto"/>
              <w:ind w:firstLineChars="0"/>
            </w:pPr>
            <w:r>
              <w:t>investigate a candidate set of items for minimum TPRs based on the Recommendation ITU-R M.2160, and</w:t>
            </w:r>
            <w:r>
              <w:rPr>
                <w:rFonts w:hint="eastAsia"/>
              </w:rPr>
              <w:t>, where applicable,</w:t>
            </w:r>
            <w:r>
              <w:t xml:space="preserve"> the associated target values </w:t>
            </w:r>
            <w:r>
              <w:rPr>
                <w:rFonts w:hint="eastAsia"/>
              </w:rPr>
              <w:t xml:space="preserve">and key assumptions </w:t>
            </w:r>
            <w:r>
              <w:t>for the identified minimum TPRs.</w:t>
            </w:r>
          </w:p>
          <w:p w:rsidR="004D6274" w:rsidRDefault="00585D9D" w:rsidP="00EA3BB9">
            <w:pPr>
              <w:pStyle w:val="aff0"/>
              <w:numPr>
                <w:ilvl w:val="1"/>
                <w:numId w:val="9"/>
              </w:numPr>
              <w:snapToGrid w:val="0"/>
              <w:spacing w:beforeLines="50" w:before="120" w:afterLines="50" w:after="120" w:line="240" w:lineRule="auto"/>
              <w:ind w:firstLineChars="0"/>
              <w:rPr>
                <w:bCs/>
              </w:rPr>
            </w:pPr>
            <w:r>
              <w:t xml:space="preserve">The outcome is expected to be shared </w:t>
            </w:r>
            <w:r>
              <w:rPr>
                <w:rFonts w:hint="eastAsia"/>
              </w:rPr>
              <w:t xml:space="preserve">by LS </w:t>
            </w:r>
            <w:r>
              <w:t>with ITU-R WP5D, as suitable, and used as a baseline for the subsequent study 6G in RAN</w:t>
            </w:r>
          </w:p>
          <w:p w:rsidR="00000000" w:rsidRPr="0033549A" w:rsidRDefault="00E4454B" w:rsidP="00EA3BB9">
            <w:pPr>
              <w:pStyle w:val="aff0"/>
              <w:numPr>
                <w:ilvl w:val="0"/>
                <w:numId w:val="9"/>
              </w:numPr>
              <w:snapToGrid w:val="0"/>
              <w:spacing w:beforeLines="50" w:before="120" w:afterLines="50" w:after="120"/>
              <w:ind w:firstLineChars="0"/>
              <w:rPr>
                <w:rFonts w:eastAsia="宋体"/>
                <w:iCs/>
                <w:color w:val="C00000"/>
                <w:lang/>
              </w:rPr>
            </w:pPr>
            <w:r w:rsidRPr="0033549A">
              <w:rPr>
                <w:rFonts w:eastAsia="宋体"/>
                <w:iCs/>
                <w:color w:val="C00000"/>
              </w:rPr>
              <w:t>develop deployment scenarios and requirements of next generation access technologies, and to provide guidance to the technical work to be performed in RAN WGs.  In order to achieve this, the study item should fulfil the</w:t>
            </w:r>
            <w:r w:rsidRPr="0033549A">
              <w:rPr>
                <w:rFonts w:eastAsia="宋体"/>
                <w:iCs/>
                <w:color w:val="C00000"/>
              </w:rPr>
              <w:t xml:space="preserve"> following objectives:</w:t>
            </w:r>
          </w:p>
          <w:p w:rsidR="00000000" w:rsidRPr="0033549A" w:rsidRDefault="00E4454B" w:rsidP="000C54E3">
            <w:pPr>
              <w:pStyle w:val="aff0"/>
              <w:numPr>
                <w:ilvl w:val="1"/>
                <w:numId w:val="9"/>
              </w:numPr>
              <w:snapToGrid w:val="0"/>
              <w:spacing w:beforeLines="50" w:before="120" w:afterLines="50" w:after="120"/>
              <w:ind w:firstLineChars="0"/>
              <w:rPr>
                <w:rFonts w:eastAsia="宋体"/>
                <w:iCs/>
                <w:color w:val="C00000"/>
                <w:lang/>
              </w:rPr>
            </w:pPr>
            <w:r w:rsidRPr="0033549A">
              <w:rPr>
                <w:rFonts w:eastAsia="宋体"/>
                <w:iCs/>
                <w:color w:val="C00000"/>
              </w:rPr>
              <w:t>Identify the typical deployment scenarios associated with attributes such as carrier frequency, inter-site distance, user density, maximum mobility speed, etc</w:t>
            </w:r>
            <w:r w:rsidRPr="0033549A">
              <w:rPr>
                <w:rFonts w:eastAsia="宋体"/>
                <w:iCs/>
                <w:color w:val="C00000"/>
              </w:rPr>
              <w:t>.</w:t>
            </w:r>
          </w:p>
          <w:p w:rsidR="004D6274" w:rsidRPr="00EA3BB9" w:rsidRDefault="00E4454B" w:rsidP="00EA3BB9">
            <w:pPr>
              <w:pStyle w:val="aff0"/>
              <w:numPr>
                <w:ilvl w:val="1"/>
                <w:numId w:val="9"/>
              </w:numPr>
              <w:snapToGrid w:val="0"/>
              <w:spacing w:beforeLines="50" w:before="120" w:afterLines="50" w:after="120"/>
              <w:ind w:firstLineChars="0"/>
              <w:rPr>
                <w:rFonts w:eastAsia="宋体"/>
                <w:iCs/>
                <w:color w:val="C00000"/>
                <w:lang/>
              </w:rPr>
            </w:pPr>
            <w:r w:rsidRPr="0033549A">
              <w:rPr>
                <w:rFonts w:eastAsia="宋体"/>
                <w:iCs/>
                <w:color w:val="C00000"/>
              </w:rPr>
              <w:t>Develop specific requirements (in addition to the identified minimum TPRs in phase 1) for next generation access technologies for the identified deployment scenarios.</w:t>
            </w:r>
          </w:p>
        </w:tc>
      </w:tr>
    </w:tbl>
    <w:p w:rsidR="004D6274" w:rsidRDefault="00585D9D">
      <w:pPr>
        <w:snapToGrid w:val="0"/>
        <w:spacing w:beforeLines="50" w:before="120" w:afterLines="50" w:after="120" w:line="240" w:lineRule="auto"/>
        <w:jc w:val="both"/>
        <w:rPr>
          <w:rFonts w:eastAsiaTheme="minorEastAsia"/>
        </w:rPr>
      </w:pPr>
      <w:r>
        <w:rPr>
          <w:rFonts w:eastAsiaTheme="minorEastAsia" w:hint="eastAsia"/>
        </w:rPr>
        <w:t xml:space="preserve">The output of this SI can be a single TR similar as TR 38.913. </w:t>
      </w:r>
      <w:r w:rsidR="00D67773">
        <w:rPr>
          <w:rFonts w:eastAsiaTheme="minorEastAsia"/>
        </w:rPr>
        <w:t xml:space="preserve"> While RAN can provide guidance to the technical work to be performed in RAN WGs, it should be avoided to move technical study from WG level to RAN level.</w:t>
      </w:r>
    </w:p>
    <w:p w:rsidR="004D6274" w:rsidRDefault="004D6274">
      <w:pPr>
        <w:snapToGrid w:val="0"/>
        <w:spacing w:beforeLines="50" w:before="120" w:after="120" w:line="240" w:lineRule="auto"/>
        <w:jc w:val="both"/>
        <w:rPr>
          <w:rFonts w:eastAsiaTheme="minorEastAsia"/>
        </w:rPr>
      </w:pPr>
    </w:p>
    <w:p w:rsidR="004D6274" w:rsidRDefault="00585D9D">
      <w:pPr>
        <w:snapToGrid w:val="0"/>
        <w:spacing w:beforeLines="50" w:before="120" w:after="120" w:line="240" w:lineRule="auto"/>
        <w:jc w:val="both"/>
        <w:rPr>
          <w:rFonts w:eastAsiaTheme="minorEastAsia"/>
          <w:b/>
          <w:i/>
        </w:rPr>
      </w:pPr>
      <w:r>
        <w:rPr>
          <w:rFonts w:eastAsiaTheme="minorEastAsia"/>
          <w:b/>
          <w:i/>
        </w:rPr>
        <w:t>Proposal 8:</w:t>
      </w:r>
      <w:r>
        <w:t xml:space="preserve"> </w:t>
      </w:r>
      <w:r>
        <w:rPr>
          <w:rFonts w:eastAsiaTheme="minorEastAsia"/>
          <w:b/>
          <w:i/>
        </w:rPr>
        <w:t xml:space="preserve">The general 6G RAN study should aim to develop deployment </w:t>
      </w:r>
      <w:r>
        <w:rPr>
          <w:rFonts w:eastAsiaTheme="minorEastAsia"/>
          <w:b/>
          <w:i/>
          <w:lang w:eastAsia="ko-KR"/>
        </w:rPr>
        <w:t xml:space="preserve">scenarios and requirements of </w:t>
      </w:r>
      <w:r>
        <w:rPr>
          <w:rFonts w:eastAsiaTheme="minorEastAsia"/>
          <w:b/>
          <w:i/>
        </w:rPr>
        <w:t>6G</w:t>
      </w:r>
      <w:r>
        <w:rPr>
          <w:rFonts w:eastAsiaTheme="minorEastAsia"/>
          <w:b/>
          <w:i/>
          <w:lang w:eastAsia="ko-KR"/>
        </w:rPr>
        <w:t xml:space="preserve"> access technologies, and to provide guidance to the technical</w:t>
      </w:r>
      <w:r>
        <w:rPr>
          <w:rFonts w:eastAsiaTheme="minorEastAsia"/>
          <w:b/>
          <w:i/>
        </w:rPr>
        <w:t xml:space="preserve"> </w:t>
      </w:r>
      <w:r>
        <w:rPr>
          <w:rFonts w:eastAsiaTheme="minorEastAsia"/>
          <w:b/>
          <w:i/>
          <w:lang w:eastAsia="ko-KR"/>
        </w:rPr>
        <w:t>work to be performed in RAN WGs</w:t>
      </w:r>
      <w:r>
        <w:rPr>
          <w:rFonts w:eastAsiaTheme="minorEastAsia"/>
          <w:b/>
          <w:i/>
        </w:rPr>
        <w:t xml:space="preserve"> </w:t>
      </w:r>
    </w:p>
    <w:p w:rsidR="004D6274" w:rsidRDefault="00585D9D">
      <w:pPr>
        <w:pStyle w:val="aff0"/>
        <w:numPr>
          <w:ilvl w:val="0"/>
          <w:numId w:val="21"/>
        </w:numPr>
        <w:snapToGrid w:val="0"/>
        <w:spacing w:beforeLines="50" w:before="120" w:after="120" w:line="240" w:lineRule="auto"/>
        <w:ind w:firstLineChars="0"/>
        <w:jc w:val="both"/>
        <w:rPr>
          <w:rFonts w:eastAsiaTheme="minorEastAsia"/>
          <w:b/>
          <w:i/>
        </w:rPr>
      </w:pPr>
      <w:r>
        <w:rPr>
          <w:rFonts w:eastAsiaTheme="minorEastAsia"/>
          <w:b/>
          <w:i/>
        </w:rPr>
        <w:t xml:space="preserve">The </w:t>
      </w:r>
      <w:r>
        <w:rPr>
          <w:rFonts w:eastAsiaTheme="minorEastAsia" w:hint="eastAsia"/>
          <w:b/>
          <w:i/>
        </w:rPr>
        <w:t xml:space="preserve">scenarios and </w:t>
      </w:r>
      <w:r>
        <w:rPr>
          <w:rFonts w:eastAsiaTheme="minorEastAsia"/>
          <w:b/>
          <w:i/>
        </w:rPr>
        <w:t>requirements are not limited to TPR discussed in ITU-R WP5D</w:t>
      </w:r>
    </w:p>
    <w:p w:rsidR="004D6274" w:rsidRDefault="00585D9D">
      <w:pPr>
        <w:pStyle w:val="aff0"/>
        <w:numPr>
          <w:ilvl w:val="0"/>
          <w:numId w:val="21"/>
        </w:numPr>
        <w:snapToGrid w:val="0"/>
        <w:spacing w:beforeLines="50" w:before="120" w:after="120" w:line="240" w:lineRule="auto"/>
        <w:ind w:firstLineChars="0"/>
        <w:jc w:val="both"/>
        <w:rPr>
          <w:rFonts w:eastAsiaTheme="minorEastAsia"/>
          <w:b/>
          <w:i/>
        </w:rPr>
      </w:pPr>
      <w:r>
        <w:rPr>
          <w:rFonts w:eastAsiaTheme="minorEastAsia" w:hint="eastAsia"/>
          <w:b/>
          <w:i/>
        </w:rPr>
        <w:lastRenderedPageBreak/>
        <w:t>The output of the whole study can be a single TR similar as TR 38.913.</w:t>
      </w:r>
    </w:p>
    <w:p w:rsidR="004D6274" w:rsidRDefault="004D6274">
      <w:pPr>
        <w:snapToGrid w:val="0"/>
        <w:rPr>
          <w:rFonts w:eastAsiaTheme="minorEastAsia"/>
        </w:rPr>
      </w:pPr>
    </w:p>
    <w:p w:rsidR="004D6274" w:rsidRDefault="00585D9D">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4D6274" w:rsidRDefault="00585D9D">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n this contribution, we elaborate</w:t>
      </w:r>
      <w:r>
        <w:rPr>
          <w:rFonts w:eastAsia="微软雅黑" w:hint="eastAsia"/>
          <w:szCs w:val="20"/>
        </w:rPr>
        <w:t xml:space="preserve"> our views on RAN study for IMT-2030. </w:t>
      </w:r>
      <w:r>
        <w:rPr>
          <w:rFonts w:eastAsia="微软雅黑"/>
          <w:szCs w:val="20"/>
        </w:rPr>
        <w:t xml:space="preserve">Our proposals </w:t>
      </w:r>
      <w:r>
        <w:rPr>
          <w:rFonts w:eastAsia="微软雅黑" w:hint="eastAsia"/>
          <w:szCs w:val="20"/>
        </w:rPr>
        <w:t>are listed as follows.</w:t>
      </w:r>
    </w:p>
    <w:p w:rsidR="004D6274" w:rsidRDefault="00585D9D">
      <w:pPr>
        <w:snapToGrid w:val="0"/>
        <w:spacing w:beforeLines="50" w:before="120" w:after="120" w:line="240" w:lineRule="auto"/>
        <w:rPr>
          <w:rFonts w:eastAsiaTheme="minorEastAsia"/>
          <w:b/>
          <w:lang w:val="en-GB"/>
        </w:rPr>
      </w:pPr>
      <w:r>
        <w:rPr>
          <w:rFonts w:eastAsiaTheme="minorEastAsia" w:hint="eastAsia"/>
          <w:b/>
          <w:lang w:val="en-GB"/>
        </w:rPr>
        <w:t>P</w:t>
      </w:r>
      <w:r>
        <w:rPr>
          <w:rFonts w:eastAsiaTheme="minorEastAsia"/>
          <w:b/>
          <w:lang w:val="en-GB"/>
        </w:rPr>
        <w:t>roposal 1: Support the following candidate TPRs for IMT-2030</w:t>
      </w:r>
    </w:p>
    <w:tbl>
      <w:tblPr>
        <w:tblStyle w:val="af7"/>
        <w:tblW w:w="0" w:type="auto"/>
        <w:jc w:val="center"/>
        <w:tblLook w:val="04A0" w:firstRow="1" w:lastRow="0" w:firstColumn="1" w:lastColumn="0" w:noHBand="0" w:noVBand="1"/>
      </w:tblPr>
      <w:tblGrid>
        <w:gridCol w:w="6204"/>
      </w:tblGrid>
      <w:tr w:rsidR="004D6274">
        <w:trPr>
          <w:jc w:val="center"/>
        </w:trPr>
        <w:tc>
          <w:tcPr>
            <w:tcW w:w="6204" w:type="dxa"/>
          </w:tcPr>
          <w:p w:rsidR="004D6274" w:rsidRDefault="00585D9D">
            <w:pPr>
              <w:snapToGrid w:val="0"/>
              <w:spacing w:after="0" w:line="240" w:lineRule="auto"/>
              <w:rPr>
                <w:rFonts w:eastAsiaTheme="minorEastAsia"/>
                <w:lang w:val="en-GB"/>
              </w:rPr>
            </w:pPr>
            <w:r>
              <w:rPr>
                <w:rFonts w:eastAsiaTheme="minorEastAsia"/>
                <w:lang w:val="en-GB"/>
              </w:rPr>
              <w:t>1.</w:t>
            </w:r>
            <w:r>
              <w:rPr>
                <w:rFonts w:eastAsiaTheme="minorEastAsia"/>
                <w:lang w:val="en-GB"/>
              </w:rPr>
              <w:tab/>
              <w:t>Peak data rate</w:t>
            </w:r>
          </w:p>
          <w:p w:rsidR="004D6274" w:rsidRDefault="00585D9D">
            <w:pPr>
              <w:snapToGrid w:val="0"/>
              <w:spacing w:after="0" w:line="240" w:lineRule="auto"/>
              <w:rPr>
                <w:rFonts w:eastAsiaTheme="minorEastAsia"/>
                <w:lang w:val="en-GB"/>
              </w:rPr>
            </w:pPr>
            <w:r>
              <w:rPr>
                <w:rFonts w:eastAsiaTheme="minorEastAsia"/>
                <w:lang w:val="en-GB"/>
              </w:rPr>
              <w:t>2.</w:t>
            </w:r>
            <w:r>
              <w:rPr>
                <w:rFonts w:eastAsiaTheme="minorEastAsia"/>
                <w:lang w:val="en-GB"/>
              </w:rPr>
              <w:tab/>
              <w:t xml:space="preserve">Peak spectral efficiency </w:t>
            </w:r>
          </w:p>
          <w:p w:rsidR="004D6274" w:rsidRDefault="00585D9D">
            <w:pPr>
              <w:snapToGrid w:val="0"/>
              <w:spacing w:after="0" w:line="240" w:lineRule="auto"/>
              <w:rPr>
                <w:rFonts w:eastAsiaTheme="minorEastAsia"/>
                <w:lang w:val="en-GB"/>
              </w:rPr>
            </w:pPr>
            <w:r>
              <w:rPr>
                <w:rFonts w:eastAsiaTheme="minorEastAsia"/>
                <w:lang w:val="en-GB"/>
              </w:rPr>
              <w:t>3.</w:t>
            </w:r>
            <w:r>
              <w:rPr>
                <w:rFonts w:eastAsiaTheme="minorEastAsia"/>
                <w:lang w:val="en-GB"/>
              </w:rPr>
              <w:tab/>
              <w:t xml:space="preserve">User experienced data rate </w:t>
            </w:r>
          </w:p>
          <w:p w:rsidR="004D6274" w:rsidRDefault="00585D9D">
            <w:pPr>
              <w:snapToGrid w:val="0"/>
              <w:spacing w:after="0" w:line="240" w:lineRule="auto"/>
              <w:rPr>
                <w:rFonts w:eastAsiaTheme="minorEastAsia"/>
                <w:lang w:val="en-GB"/>
              </w:rPr>
            </w:pPr>
            <w:r>
              <w:rPr>
                <w:rFonts w:eastAsiaTheme="minorEastAsia"/>
                <w:lang w:val="en-GB"/>
              </w:rPr>
              <w:t>4.</w:t>
            </w:r>
            <w:r>
              <w:rPr>
                <w:rFonts w:eastAsiaTheme="minorEastAsia"/>
                <w:lang w:val="en-GB"/>
              </w:rPr>
              <w:tab/>
              <w:t xml:space="preserve">5th percentile user spectral efficiency </w:t>
            </w:r>
          </w:p>
          <w:p w:rsidR="004D6274" w:rsidRDefault="00585D9D">
            <w:pPr>
              <w:snapToGrid w:val="0"/>
              <w:spacing w:after="0" w:line="240" w:lineRule="auto"/>
              <w:rPr>
                <w:rFonts w:eastAsiaTheme="minorEastAsia"/>
                <w:lang w:val="en-GB"/>
              </w:rPr>
            </w:pPr>
            <w:r>
              <w:rPr>
                <w:rFonts w:eastAsiaTheme="minorEastAsia"/>
                <w:lang w:val="en-GB"/>
              </w:rPr>
              <w:t>5.</w:t>
            </w:r>
            <w:r>
              <w:rPr>
                <w:rFonts w:eastAsiaTheme="minorEastAsia"/>
                <w:lang w:val="en-GB"/>
              </w:rPr>
              <w:tab/>
              <w:t xml:space="preserve">Average spectral efficiency </w:t>
            </w:r>
          </w:p>
          <w:p w:rsidR="004D6274" w:rsidRDefault="00585D9D">
            <w:pPr>
              <w:snapToGrid w:val="0"/>
              <w:spacing w:after="0" w:line="240" w:lineRule="auto"/>
              <w:rPr>
                <w:rFonts w:eastAsiaTheme="minorEastAsia"/>
                <w:lang w:val="en-GB"/>
              </w:rPr>
            </w:pPr>
            <w:r>
              <w:rPr>
                <w:rFonts w:eastAsiaTheme="minorEastAsia"/>
                <w:lang w:val="en-GB"/>
              </w:rPr>
              <w:t>6.</w:t>
            </w:r>
            <w:r>
              <w:rPr>
                <w:rFonts w:eastAsiaTheme="minorEastAsia"/>
                <w:lang w:val="en-GB"/>
              </w:rPr>
              <w:tab/>
            </w:r>
            <w:r>
              <w:rPr>
                <w:rFonts w:eastAsiaTheme="minorEastAsia"/>
                <w:strike/>
                <w:color w:val="4472C4" w:themeColor="accent5"/>
                <w:lang w:val="en-GB"/>
              </w:rPr>
              <w:t>Sustainability/</w:t>
            </w:r>
            <w:r>
              <w:rPr>
                <w:rFonts w:eastAsiaTheme="minorEastAsia"/>
                <w:lang w:val="en-GB"/>
              </w:rPr>
              <w:t>Energy efficiency</w:t>
            </w:r>
          </w:p>
          <w:p w:rsidR="004D6274" w:rsidRDefault="00585D9D">
            <w:pPr>
              <w:snapToGrid w:val="0"/>
              <w:spacing w:after="0" w:line="240" w:lineRule="auto"/>
              <w:rPr>
                <w:rFonts w:eastAsiaTheme="minorEastAsia"/>
                <w:lang w:val="en-GB"/>
              </w:rPr>
            </w:pPr>
            <w:r>
              <w:rPr>
                <w:rFonts w:eastAsiaTheme="minorEastAsia"/>
                <w:lang w:val="en-GB"/>
              </w:rPr>
              <w:t>7.</w:t>
            </w:r>
            <w:r>
              <w:rPr>
                <w:rFonts w:eastAsiaTheme="minorEastAsia"/>
                <w:lang w:val="en-GB"/>
              </w:rPr>
              <w:tab/>
              <w:t xml:space="preserve">Area traffic capacity  </w:t>
            </w:r>
          </w:p>
          <w:p w:rsidR="004D6274" w:rsidRDefault="00585D9D">
            <w:pPr>
              <w:snapToGrid w:val="0"/>
              <w:spacing w:after="0" w:line="240" w:lineRule="auto"/>
              <w:rPr>
                <w:rFonts w:eastAsiaTheme="minorEastAsia"/>
                <w:lang w:val="en-GB"/>
              </w:rPr>
            </w:pPr>
            <w:r>
              <w:rPr>
                <w:rFonts w:eastAsiaTheme="minorEastAsia"/>
                <w:lang w:val="en-GB"/>
              </w:rPr>
              <w:t>8.</w:t>
            </w:r>
            <w:r>
              <w:rPr>
                <w:rFonts w:eastAsiaTheme="minorEastAsia"/>
                <w:lang w:val="en-GB"/>
              </w:rPr>
              <w:tab/>
              <w:t>User plane latency</w:t>
            </w:r>
          </w:p>
          <w:p w:rsidR="004D6274" w:rsidRDefault="00585D9D">
            <w:pPr>
              <w:snapToGrid w:val="0"/>
              <w:spacing w:after="0" w:line="240" w:lineRule="auto"/>
              <w:rPr>
                <w:rFonts w:eastAsiaTheme="minorEastAsia"/>
                <w:lang w:val="en-GB"/>
              </w:rPr>
            </w:pPr>
            <w:r>
              <w:rPr>
                <w:rFonts w:eastAsiaTheme="minorEastAsia"/>
                <w:lang w:val="en-GB"/>
              </w:rPr>
              <w:t>9.</w:t>
            </w:r>
            <w:r>
              <w:rPr>
                <w:rFonts w:eastAsiaTheme="minorEastAsia"/>
                <w:lang w:val="en-GB"/>
              </w:rPr>
              <w:tab/>
              <w:t>Control plane latency</w:t>
            </w:r>
          </w:p>
          <w:p w:rsidR="004D6274" w:rsidRDefault="00585D9D">
            <w:pPr>
              <w:snapToGrid w:val="0"/>
              <w:spacing w:after="0" w:line="240" w:lineRule="auto"/>
              <w:rPr>
                <w:rFonts w:eastAsiaTheme="minorEastAsia"/>
                <w:lang w:val="en-GB"/>
              </w:rPr>
            </w:pPr>
            <w:r>
              <w:rPr>
                <w:rFonts w:eastAsiaTheme="minorEastAsia"/>
                <w:lang w:val="en-GB"/>
              </w:rPr>
              <w:t>10.</w:t>
            </w:r>
            <w:r>
              <w:rPr>
                <w:rFonts w:eastAsiaTheme="minorEastAsia"/>
                <w:lang w:val="en-GB"/>
              </w:rPr>
              <w:tab/>
              <w:t>Connection density</w:t>
            </w:r>
          </w:p>
          <w:p w:rsidR="004D6274" w:rsidRDefault="00585D9D">
            <w:pPr>
              <w:snapToGrid w:val="0"/>
              <w:spacing w:after="0" w:line="240" w:lineRule="auto"/>
              <w:rPr>
                <w:rFonts w:eastAsiaTheme="minorEastAsia"/>
                <w:lang w:val="en-GB"/>
              </w:rPr>
            </w:pPr>
            <w:r>
              <w:rPr>
                <w:rFonts w:eastAsiaTheme="minorEastAsia"/>
                <w:lang w:val="en-GB"/>
              </w:rPr>
              <w:t>11.</w:t>
            </w:r>
            <w:r>
              <w:rPr>
                <w:rFonts w:eastAsiaTheme="minorEastAsia"/>
                <w:color w:val="4472C4" w:themeColor="accent5"/>
                <w:lang w:val="en-GB"/>
              </w:rPr>
              <w:tab/>
              <w:t>[</w:t>
            </w:r>
            <w:r>
              <w:rPr>
                <w:rFonts w:eastAsiaTheme="minorEastAsia"/>
                <w:lang w:val="en-GB"/>
              </w:rPr>
              <w:t>Reliability</w:t>
            </w:r>
            <w:r>
              <w:rPr>
                <w:rFonts w:eastAsiaTheme="minorEastAsia"/>
                <w:color w:val="4472C4" w:themeColor="accent5"/>
                <w:lang w:val="en-GB"/>
              </w:rPr>
              <w:t>]</w:t>
            </w:r>
          </w:p>
          <w:p w:rsidR="004D6274" w:rsidRDefault="00585D9D">
            <w:pPr>
              <w:snapToGrid w:val="0"/>
              <w:spacing w:after="0" w:line="240" w:lineRule="auto"/>
              <w:rPr>
                <w:rFonts w:eastAsiaTheme="minorEastAsia"/>
                <w:lang w:val="en-GB"/>
              </w:rPr>
            </w:pPr>
            <w:r>
              <w:rPr>
                <w:rFonts w:eastAsiaTheme="minorEastAsia"/>
                <w:lang w:val="en-GB"/>
              </w:rPr>
              <w:t>12.</w:t>
            </w:r>
            <w:r>
              <w:rPr>
                <w:rFonts w:eastAsiaTheme="minorEastAsia"/>
                <w:lang w:val="en-GB"/>
              </w:rPr>
              <w:tab/>
              <w:t>Mobility</w:t>
            </w:r>
          </w:p>
          <w:p w:rsidR="004D6274" w:rsidRDefault="00585D9D">
            <w:pPr>
              <w:snapToGrid w:val="0"/>
              <w:spacing w:after="0" w:line="240" w:lineRule="auto"/>
              <w:rPr>
                <w:rFonts w:eastAsiaTheme="minorEastAsia"/>
                <w:lang w:val="en-GB"/>
              </w:rPr>
            </w:pPr>
            <w:r>
              <w:rPr>
                <w:rFonts w:eastAsiaTheme="minorEastAsia"/>
                <w:lang w:val="en-GB"/>
              </w:rPr>
              <w:t>13.</w:t>
            </w:r>
            <w:r>
              <w:rPr>
                <w:rFonts w:eastAsiaTheme="minorEastAsia"/>
                <w:lang w:val="en-GB"/>
              </w:rPr>
              <w:tab/>
              <w:t>Mobility interruption time</w:t>
            </w:r>
          </w:p>
          <w:p w:rsidR="004D6274" w:rsidRDefault="00585D9D">
            <w:pPr>
              <w:snapToGrid w:val="0"/>
              <w:spacing w:after="0" w:line="240" w:lineRule="auto"/>
              <w:rPr>
                <w:rFonts w:eastAsiaTheme="minorEastAsia"/>
                <w:lang w:val="en-GB"/>
              </w:rPr>
            </w:pPr>
            <w:r>
              <w:rPr>
                <w:rFonts w:eastAsiaTheme="minorEastAsia"/>
                <w:lang w:val="en-GB"/>
              </w:rPr>
              <w:t>14.</w:t>
            </w:r>
            <w:r>
              <w:rPr>
                <w:rFonts w:eastAsiaTheme="minorEastAsia"/>
                <w:lang w:val="en-GB"/>
              </w:rPr>
              <w:tab/>
              <w:t>Bandwidth</w:t>
            </w:r>
          </w:p>
          <w:p w:rsidR="004D6274" w:rsidRDefault="00585D9D">
            <w:pPr>
              <w:snapToGrid w:val="0"/>
              <w:spacing w:after="0" w:line="240" w:lineRule="auto"/>
              <w:rPr>
                <w:rFonts w:eastAsiaTheme="minorEastAsia"/>
                <w:color w:val="4472C4" w:themeColor="accent5"/>
              </w:rPr>
            </w:pPr>
            <w:r>
              <w:rPr>
                <w:rFonts w:eastAsiaTheme="minorEastAsia" w:hint="eastAsia"/>
                <w:color w:val="4472C4" w:themeColor="accent5"/>
                <w:lang w:val="en-GB"/>
              </w:rPr>
              <w:t>1</w:t>
            </w:r>
            <w:r>
              <w:rPr>
                <w:rFonts w:eastAsiaTheme="minorEastAsia"/>
                <w:color w:val="4472C4" w:themeColor="accent5"/>
                <w:lang w:val="en-GB"/>
              </w:rPr>
              <w:t>5.   Composite requirement</w:t>
            </w:r>
            <w:r>
              <w:rPr>
                <w:rFonts w:eastAsiaTheme="minorEastAsia" w:hint="eastAsia"/>
                <w:color w:val="4472C4" w:themeColor="accent5"/>
              </w:rPr>
              <w:t>, i.e. joint requirement</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6.    AI-related capabilities</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7.    Sensing-related capabilities</w:t>
            </w:r>
          </w:p>
          <w:p w:rsidR="004D6274" w:rsidRDefault="00585D9D">
            <w:pPr>
              <w:snapToGrid w:val="0"/>
              <w:spacing w:after="0" w:line="240" w:lineRule="auto"/>
              <w:rPr>
                <w:rFonts w:eastAsiaTheme="minorEastAsia"/>
                <w:color w:val="4472C4" w:themeColor="accent5"/>
                <w:lang w:val="en-GB"/>
              </w:rPr>
            </w:pPr>
            <w:r>
              <w:rPr>
                <w:rFonts w:eastAsiaTheme="minorEastAsia" w:hint="eastAsia"/>
                <w:color w:val="4472C4" w:themeColor="accent5"/>
                <w:lang w:val="en-GB"/>
              </w:rPr>
              <w:t>1</w:t>
            </w:r>
            <w:r>
              <w:rPr>
                <w:rFonts w:eastAsiaTheme="minorEastAsia"/>
                <w:color w:val="4472C4" w:themeColor="accent5"/>
                <w:lang w:val="en-GB"/>
              </w:rPr>
              <w:t>8.    Positioning</w:t>
            </w:r>
          </w:p>
        </w:tc>
      </w:tr>
    </w:tbl>
    <w:p w:rsidR="004D6274" w:rsidRDefault="00585D9D">
      <w:pPr>
        <w:snapToGrid w:val="0"/>
        <w:spacing w:beforeLines="50" w:before="120" w:after="120" w:line="240" w:lineRule="auto"/>
        <w:rPr>
          <w:rFonts w:eastAsiaTheme="minorEastAsia"/>
          <w:b/>
          <w:lang w:val="en-GB"/>
        </w:rPr>
      </w:pPr>
      <w:r>
        <w:rPr>
          <w:rFonts w:eastAsiaTheme="minorEastAsia" w:hint="eastAsia"/>
          <w:b/>
          <w:lang w:val="en-GB"/>
        </w:rPr>
        <w:t>P</w:t>
      </w:r>
      <w:r>
        <w:rPr>
          <w:rFonts w:eastAsiaTheme="minorEastAsia"/>
          <w:b/>
          <w:lang w:val="en-GB"/>
        </w:rPr>
        <w:t>roposal 2: Composite requirement on data rate, latency, reliability and capacity can be adopted for both immersive communication and HRLLC.</w:t>
      </w:r>
    </w:p>
    <w:p w:rsidR="004D6274" w:rsidRDefault="00585D9D">
      <w:pPr>
        <w:pStyle w:val="aff0"/>
        <w:numPr>
          <w:ilvl w:val="0"/>
          <w:numId w:val="14"/>
        </w:numPr>
        <w:snapToGrid w:val="0"/>
        <w:spacing w:beforeLines="50" w:before="120" w:after="120" w:line="240" w:lineRule="auto"/>
        <w:ind w:firstLineChars="0"/>
        <w:rPr>
          <w:rFonts w:eastAsiaTheme="minorEastAsia"/>
          <w:b/>
          <w:lang w:val="en-GB"/>
        </w:rPr>
      </w:pPr>
      <w:r>
        <w:rPr>
          <w:rFonts w:eastAsiaTheme="minorEastAsia"/>
          <w:b/>
          <w:lang w:val="en-GB"/>
        </w:rPr>
        <w:t>This requirement is defined as the total traffic throughput of all users within a geographic area that fulfil the required data date, latency and reliability.</w:t>
      </w:r>
    </w:p>
    <w:p w:rsidR="004D6274" w:rsidRDefault="00585D9D">
      <w:pPr>
        <w:snapToGrid w:val="0"/>
        <w:spacing w:beforeLines="50" w:before="120" w:afterLines="50" w:after="120" w:line="240" w:lineRule="auto"/>
        <w:jc w:val="both"/>
        <w:rPr>
          <w:rFonts w:eastAsiaTheme="minorEastAsia"/>
          <w:b/>
          <w:lang w:val="en-GB"/>
        </w:rPr>
      </w:pPr>
      <w:r>
        <w:rPr>
          <w:rFonts w:eastAsiaTheme="minorEastAsia" w:hint="eastAsia"/>
          <w:b/>
          <w:lang w:val="en-GB"/>
        </w:rPr>
        <w:t>P</w:t>
      </w:r>
      <w:r>
        <w:rPr>
          <w:rFonts w:eastAsiaTheme="minorEastAsia"/>
          <w:b/>
          <w:lang w:val="en-GB"/>
        </w:rPr>
        <w:t>roposal 3: Quantitative energy efficiency TPR can be adopted for IMT-2030 communication for network and device:</w:t>
      </w:r>
    </w:p>
    <w:p w:rsidR="004D6274" w:rsidRDefault="00585D9D">
      <w:pPr>
        <w:pStyle w:val="aff0"/>
        <w:numPr>
          <w:ilvl w:val="0"/>
          <w:numId w:val="14"/>
        </w:numPr>
        <w:snapToGrid w:val="0"/>
        <w:spacing w:beforeLines="50" w:before="120" w:afterLines="50" w:after="120" w:line="240" w:lineRule="auto"/>
        <w:ind w:firstLineChars="0"/>
        <w:jc w:val="both"/>
        <w:rPr>
          <w:rFonts w:eastAsiaTheme="minorEastAsia"/>
          <w:b/>
          <w:lang w:val="en-GB"/>
        </w:rPr>
      </w:pPr>
      <w:r>
        <w:rPr>
          <w:rFonts w:eastAsiaTheme="minorEastAsia"/>
          <w:b/>
          <w:lang w:val="en-GB"/>
        </w:rPr>
        <w:t xml:space="preserve">For unloaded case: </w:t>
      </w:r>
      <m:oMath>
        <m:sSub>
          <m:sSubPr>
            <m:ctrlPr>
              <w:rPr>
                <w:rFonts w:ascii="Cambria Math" w:hAnsi="Cambria Math"/>
                <w:b/>
                <w:szCs w:val="20"/>
              </w:rPr>
            </m:ctrlPr>
          </m:sSubPr>
          <m:e>
            <m:r>
              <m:rPr>
                <m:sty m:val="bi"/>
              </m:rPr>
              <w:rPr>
                <w:rFonts w:ascii="Cambria Math" w:hAnsi="Cambria Math"/>
                <w:szCs w:val="20"/>
              </w:rPr>
              <m:t>EE</m:t>
            </m:r>
          </m:e>
          <m:sub>
            <m:r>
              <m:rPr>
                <m:sty m:val="bi"/>
              </m:rPr>
              <w:rPr>
                <w:rFonts w:ascii="Cambria Math" w:hAnsi="Cambria Math"/>
                <w:szCs w:val="20"/>
              </w:rPr>
              <m:t>no</m:t>
            </m:r>
            <m:r>
              <m:rPr>
                <m:sty m:val="b"/>
              </m:rPr>
              <w:rPr>
                <w:rFonts w:ascii="Cambria Math" w:hAnsi="Cambria Math"/>
                <w:szCs w:val="20"/>
              </w:rPr>
              <m:t>_</m:t>
            </m:r>
            <m:r>
              <m:rPr>
                <m:sty m:val="bi"/>
              </m:rPr>
              <w:rPr>
                <w:rFonts w:ascii="Cambria Math" w:hAnsi="Cambria Math"/>
                <w:szCs w:val="20"/>
              </w:rPr>
              <m:t>data</m:t>
            </m:r>
          </m:sub>
        </m:sSub>
        <m:r>
          <m:rPr>
            <m:sty m:val="b"/>
          </m:rPr>
          <w:rPr>
            <w:rFonts w:ascii="Cambria Math" w:hAnsi="Cambria Math"/>
            <w:szCs w:val="20"/>
          </w:rPr>
          <m:t>=</m:t>
        </m:r>
        <m:r>
          <m:rPr>
            <m:sty m:val="bi"/>
          </m:rPr>
          <w:rPr>
            <w:rFonts w:ascii="Cambria Math" w:hAnsi="Cambria Math"/>
            <w:szCs w:val="20"/>
          </w:rPr>
          <m:t>E</m:t>
        </m:r>
      </m:oMath>
    </w:p>
    <w:p w:rsidR="004D6274" w:rsidRDefault="00585D9D">
      <w:pPr>
        <w:pStyle w:val="aff0"/>
        <w:numPr>
          <w:ilvl w:val="0"/>
          <w:numId w:val="14"/>
        </w:numPr>
        <w:snapToGrid w:val="0"/>
        <w:spacing w:beforeLines="50" w:before="120" w:afterLines="50" w:after="120" w:line="240" w:lineRule="auto"/>
        <w:ind w:firstLineChars="0"/>
        <w:jc w:val="both"/>
        <w:rPr>
          <w:rFonts w:eastAsiaTheme="minorEastAsia"/>
          <w:b/>
          <w:lang w:val="en-GB"/>
        </w:rPr>
      </w:pPr>
      <w:r>
        <w:rPr>
          <w:rFonts w:eastAsiaTheme="minorEastAsia" w:hint="eastAsia"/>
          <w:b/>
          <w:lang w:val="en-GB"/>
        </w:rPr>
        <w:t>F</w:t>
      </w:r>
      <w:r>
        <w:rPr>
          <w:rFonts w:eastAsiaTheme="minorEastAsia"/>
          <w:b/>
          <w:lang w:val="en-GB"/>
        </w:rPr>
        <w:t xml:space="preserve">or loaded case: </w:t>
      </w:r>
      <m:oMath>
        <m:sSub>
          <m:sSubPr>
            <m:ctrlPr>
              <w:rPr>
                <w:rFonts w:ascii="Cambria Math" w:hAnsi="Cambria Math"/>
                <w:b/>
              </w:rPr>
            </m:ctrlPr>
          </m:sSubPr>
          <m:e>
            <m:r>
              <m:rPr>
                <m:sty m:val="bi"/>
              </m:rPr>
              <w:rPr>
                <w:rFonts w:ascii="Cambria Math" w:hAnsi="Cambria Math"/>
              </w:rPr>
              <m:t>EE</m:t>
            </m:r>
          </m:e>
          <m:sub>
            <m:r>
              <m:rPr>
                <m:sty m:val="bi"/>
              </m:rPr>
              <w:rPr>
                <w:rFonts w:ascii="Cambria Math" w:hAnsi="Cambria Math"/>
              </w:rPr>
              <m:t>loaded</m:t>
            </m:r>
          </m:sub>
        </m:sSub>
        <m:r>
          <m:rPr>
            <m:sty m:val="b"/>
          </m:rPr>
          <w:rPr>
            <w:rFonts w:ascii="Cambria Math" w:hAnsi="Cambria Math"/>
          </w:rPr>
          <m:t>=</m:t>
        </m:r>
        <m:r>
          <m:rPr>
            <m:sty m:val="bi"/>
          </m:rPr>
          <w:rPr>
            <w:rFonts w:ascii="Cambria Math" w:hAnsi="Cambria Math"/>
          </w:rPr>
          <m:t>v</m:t>
        </m:r>
        <m:r>
          <m:rPr>
            <m:sty m:val="b"/>
          </m:rPr>
          <w:rPr>
            <w:rFonts w:ascii="Cambria Math" w:hAnsi="Cambria Math"/>
          </w:rPr>
          <m:t>/</m:t>
        </m:r>
        <m:r>
          <m:rPr>
            <m:sty m:val="bi"/>
          </m:rPr>
          <w:rPr>
            <w:rFonts w:ascii="Cambria Math" w:hAnsi="Cambria Math"/>
          </w:rPr>
          <m:t>E</m:t>
        </m:r>
      </m:oMath>
    </w:p>
    <w:p w:rsidR="004D6274" w:rsidRDefault="00585D9D">
      <w:pPr>
        <w:pStyle w:val="aff0"/>
        <w:numPr>
          <w:ilvl w:val="255"/>
          <w:numId w:val="0"/>
        </w:numPr>
        <w:snapToGrid w:val="0"/>
        <w:spacing w:beforeLines="50" w:before="120" w:afterLines="50" w:after="120" w:line="240" w:lineRule="auto"/>
        <w:ind w:left="420"/>
        <w:jc w:val="both"/>
        <w:rPr>
          <w:rFonts w:eastAsiaTheme="minorEastAsia"/>
          <w:b/>
          <w:lang w:val="en-GB"/>
        </w:rPr>
      </w:pPr>
      <w:r>
        <w:rPr>
          <w:rFonts w:eastAsia="宋体" w:hAnsi="Cambria Math" w:hint="eastAsia"/>
          <w:b/>
          <w:szCs w:val="20"/>
        </w:rPr>
        <w:t xml:space="preserve">where </w:t>
      </w:r>
      <m:oMath>
        <m:r>
          <m:rPr>
            <m:sty m:val="bi"/>
          </m:rPr>
          <w:rPr>
            <w:rFonts w:ascii="Cambria Math" w:hAnsi="Cambria Math"/>
            <w:szCs w:val="20"/>
          </w:rPr>
          <m:t>E</m:t>
        </m:r>
      </m:oMath>
      <w:r>
        <w:rPr>
          <w:rFonts w:eastAsiaTheme="minorEastAsia"/>
          <w:b/>
          <w:lang w:val="en-GB"/>
        </w:rPr>
        <w:t xml:space="preserve"> is defined as average energy consumption during the observation time, </w:t>
      </w:r>
      <m:oMath>
        <m:r>
          <m:rPr>
            <m:sty m:val="bi"/>
          </m:rPr>
          <w:rPr>
            <w:rFonts w:ascii="Cambria Math" w:hAnsi="Cambria Math"/>
          </w:rPr>
          <m:t>v</m:t>
        </m:r>
      </m:oMath>
      <w:r>
        <w:rPr>
          <w:rFonts w:eastAsiaTheme="minorEastAsia" w:hint="eastAsia"/>
          <w:b/>
        </w:rPr>
        <w:t xml:space="preserve"> </w:t>
      </w:r>
      <w:r>
        <w:rPr>
          <w:rFonts w:eastAsiaTheme="minorEastAsia"/>
          <w:b/>
        </w:rPr>
        <w:t>refers to the traffic per second served by a base station or traffic per second of a device</w:t>
      </w:r>
    </w:p>
    <w:p w:rsidR="004D6274" w:rsidRDefault="00585D9D">
      <w:pPr>
        <w:snapToGrid w:val="0"/>
        <w:spacing w:beforeLines="50" w:before="120" w:afterLines="50" w:after="120" w:line="240" w:lineRule="auto"/>
        <w:rPr>
          <w:rFonts w:eastAsiaTheme="minorEastAsia"/>
          <w:b/>
          <w:lang w:val="en-GB"/>
        </w:rPr>
      </w:pPr>
      <w:r>
        <w:rPr>
          <w:rFonts w:eastAsiaTheme="minorEastAsia" w:hint="eastAsia"/>
          <w:b/>
          <w:lang w:val="en-GB"/>
        </w:rPr>
        <w:t>P</w:t>
      </w:r>
      <w:r>
        <w:rPr>
          <w:rFonts w:eastAsiaTheme="minorEastAsia"/>
          <w:b/>
          <w:lang w:val="en-GB"/>
        </w:rPr>
        <w:t xml:space="preserve">roposal 4: Support the following </w:t>
      </w:r>
      <w:r>
        <w:rPr>
          <w:rFonts w:eastAsiaTheme="minorEastAsia" w:hint="eastAsia"/>
          <w:b/>
        </w:rPr>
        <w:t>quantitative</w:t>
      </w:r>
      <w:r>
        <w:rPr>
          <w:rFonts w:eastAsiaTheme="minorEastAsia"/>
          <w:b/>
          <w:lang w:val="en-GB"/>
        </w:rPr>
        <w:t xml:space="preserve"> sensing-related TPRs:</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Detectability (Detection / False Alarm Probability)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Localization accuracy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Velocity accuracy</w:t>
      </w:r>
    </w:p>
    <w:p w:rsidR="004D6274" w:rsidRDefault="00585D9D">
      <w:pPr>
        <w:pStyle w:val="aff0"/>
        <w:numPr>
          <w:ilvl w:val="0"/>
          <w:numId w:val="16"/>
        </w:numPr>
        <w:snapToGrid w:val="0"/>
        <w:spacing w:beforeLines="50" w:before="120" w:afterLines="50" w:after="120" w:line="240" w:lineRule="auto"/>
        <w:ind w:firstLineChars="0"/>
        <w:rPr>
          <w:rFonts w:eastAsiaTheme="minorEastAsia"/>
          <w:b/>
          <w:lang w:val="en-GB"/>
        </w:rPr>
      </w:pPr>
      <w:r>
        <w:rPr>
          <w:rFonts w:eastAsiaTheme="minorEastAsia"/>
          <w:b/>
          <w:lang w:val="en-GB"/>
        </w:rPr>
        <w:t>Sensing resolution</w:t>
      </w:r>
    </w:p>
    <w:p w:rsidR="004D6274" w:rsidRDefault="00585D9D">
      <w:pPr>
        <w:pStyle w:val="aff0"/>
        <w:numPr>
          <w:ilvl w:val="0"/>
          <w:numId w:val="16"/>
        </w:numPr>
        <w:snapToGrid w:val="0"/>
        <w:spacing w:beforeLines="50" w:before="120" w:after="120" w:line="240" w:lineRule="auto"/>
        <w:ind w:firstLineChars="0"/>
        <w:rPr>
          <w:rFonts w:eastAsiaTheme="minorEastAsia"/>
          <w:b/>
          <w:lang w:val="en-GB"/>
        </w:rPr>
      </w:pPr>
      <w:r>
        <w:rPr>
          <w:rFonts w:eastAsiaTheme="minorEastAsia"/>
          <w:b/>
          <w:lang w:val="en-GB"/>
        </w:rPr>
        <w:t>Displacement accuracy</w:t>
      </w:r>
    </w:p>
    <w:p w:rsidR="004D6274" w:rsidRDefault="00585D9D">
      <w:pPr>
        <w:snapToGrid w:val="0"/>
        <w:spacing w:beforeLines="50" w:before="120" w:after="120" w:line="240" w:lineRule="auto"/>
        <w:rPr>
          <w:rFonts w:eastAsiaTheme="minorEastAsia"/>
          <w:b/>
          <w:lang w:val="en-GB"/>
        </w:rPr>
      </w:pPr>
      <w:r>
        <w:rPr>
          <w:rFonts w:eastAsiaTheme="minorEastAsia" w:hint="eastAsia"/>
          <w:b/>
          <w:lang w:val="en-GB"/>
        </w:rPr>
        <w:t>P</w:t>
      </w:r>
      <w:r>
        <w:rPr>
          <w:rFonts w:eastAsiaTheme="minorEastAsia"/>
          <w:b/>
          <w:lang w:val="en-GB"/>
        </w:rPr>
        <w:t>roposal 5: For AI-related TPRs:</w:t>
      </w:r>
    </w:p>
    <w:p w:rsidR="004D6274" w:rsidRDefault="00585D9D">
      <w:pPr>
        <w:pStyle w:val="aff0"/>
        <w:numPr>
          <w:ilvl w:val="0"/>
          <w:numId w:val="17"/>
        </w:numPr>
        <w:snapToGrid w:val="0"/>
        <w:spacing w:afterLines="50" w:after="120" w:line="240" w:lineRule="auto"/>
        <w:ind w:firstLineChars="0"/>
        <w:rPr>
          <w:rFonts w:eastAsiaTheme="minorEastAsia"/>
          <w:b/>
          <w:lang w:val="en-GB"/>
        </w:rPr>
      </w:pPr>
      <w:r>
        <w:rPr>
          <w:rFonts w:eastAsiaTheme="minorEastAsia" w:hint="eastAsia"/>
          <w:b/>
          <w:lang w:val="en-GB"/>
        </w:rPr>
        <w:t>A</w:t>
      </w:r>
      <w:r>
        <w:rPr>
          <w:rFonts w:eastAsiaTheme="minorEastAsia"/>
          <w:b/>
          <w:lang w:val="en-GB"/>
        </w:rPr>
        <w:t>t least support a qualitative TPR to reflect AI-related capability</w:t>
      </w:r>
    </w:p>
    <w:p w:rsidR="004D6274" w:rsidRDefault="00585D9D">
      <w:pPr>
        <w:pStyle w:val="aff0"/>
        <w:numPr>
          <w:ilvl w:val="0"/>
          <w:numId w:val="17"/>
        </w:numPr>
        <w:snapToGrid w:val="0"/>
        <w:spacing w:afterLines="50" w:after="120" w:line="240" w:lineRule="auto"/>
        <w:ind w:firstLineChars="0"/>
        <w:rPr>
          <w:rFonts w:eastAsiaTheme="minorEastAsia"/>
          <w:b/>
          <w:lang w:val="en-GB"/>
        </w:rPr>
      </w:pPr>
      <w:r>
        <w:rPr>
          <w:rFonts w:eastAsiaTheme="minorEastAsia" w:hint="eastAsia"/>
          <w:b/>
          <w:lang w:val="en-GB"/>
        </w:rPr>
        <w:t>A</w:t>
      </w:r>
      <w:r>
        <w:rPr>
          <w:rFonts w:eastAsiaTheme="minorEastAsia"/>
          <w:b/>
          <w:lang w:val="en-GB"/>
        </w:rPr>
        <w:t>I service latency can be introduced for network assisted AI</w:t>
      </w:r>
    </w:p>
    <w:p w:rsidR="004D6274" w:rsidRDefault="00585D9D">
      <w:pPr>
        <w:snapToGrid w:val="0"/>
        <w:rPr>
          <w:rFonts w:eastAsiaTheme="minorEastAsia"/>
        </w:rPr>
      </w:pPr>
      <w:r>
        <w:rPr>
          <w:rFonts w:eastAsiaTheme="minorEastAsia" w:hint="eastAsia"/>
          <w:b/>
          <w:lang w:val="en-GB"/>
        </w:rPr>
        <w:t>P</w:t>
      </w:r>
      <w:r>
        <w:rPr>
          <w:rFonts w:eastAsiaTheme="minorEastAsia"/>
          <w:b/>
          <w:lang w:val="en-GB"/>
        </w:rPr>
        <w:t>roposal 6: Do not define TPR(s) for coverage, security, resilience and interoperability.</w:t>
      </w:r>
    </w:p>
    <w:p w:rsidR="004D6274" w:rsidRDefault="00585D9D">
      <w:pPr>
        <w:snapToGrid w:val="0"/>
        <w:rPr>
          <w:rFonts w:eastAsiaTheme="minorEastAsia"/>
          <w:b/>
          <w:lang w:val="en-GB"/>
        </w:rPr>
      </w:pPr>
      <w:r>
        <w:rPr>
          <w:rFonts w:eastAsiaTheme="minorEastAsia" w:hint="eastAsia"/>
          <w:b/>
          <w:lang w:val="en-GB"/>
        </w:rPr>
        <w:lastRenderedPageBreak/>
        <w:t>P</w:t>
      </w:r>
      <w:r>
        <w:rPr>
          <w:rFonts w:eastAsiaTheme="minorEastAsia"/>
          <w:b/>
          <w:lang w:val="en-GB"/>
        </w:rPr>
        <w:t>roposal 7: Consider Table 2.2-1 regarding target values of TPRs for IMT-2030.</w:t>
      </w:r>
    </w:p>
    <w:p w:rsidR="004D6274" w:rsidRDefault="00585D9D">
      <w:pPr>
        <w:snapToGrid w:val="0"/>
        <w:spacing w:beforeLines="50" w:before="120" w:after="120" w:line="240" w:lineRule="auto"/>
        <w:jc w:val="both"/>
        <w:rPr>
          <w:rFonts w:eastAsiaTheme="minorEastAsia"/>
          <w:b/>
          <w:i/>
        </w:rPr>
      </w:pPr>
      <w:r>
        <w:rPr>
          <w:rFonts w:eastAsiaTheme="minorEastAsia"/>
          <w:b/>
          <w:i/>
        </w:rPr>
        <w:t>Proposal 8:</w:t>
      </w:r>
      <w:r>
        <w:t xml:space="preserve"> </w:t>
      </w:r>
      <w:r>
        <w:rPr>
          <w:rFonts w:eastAsiaTheme="minorEastAsia"/>
          <w:b/>
          <w:i/>
        </w:rPr>
        <w:t xml:space="preserve">The general 6G RAN study should aim to develop deployment </w:t>
      </w:r>
      <w:r>
        <w:rPr>
          <w:rFonts w:eastAsiaTheme="minorEastAsia"/>
          <w:b/>
          <w:i/>
          <w:lang w:eastAsia="ko-KR"/>
        </w:rPr>
        <w:t xml:space="preserve">scenarios and requirements of </w:t>
      </w:r>
      <w:r>
        <w:rPr>
          <w:rFonts w:eastAsiaTheme="minorEastAsia"/>
          <w:b/>
          <w:i/>
        </w:rPr>
        <w:t>6G</w:t>
      </w:r>
      <w:r>
        <w:rPr>
          <w:rFonts w:eastAsiaTheme="minorEastAsia"/>
          <w:b/>
          <w:i/>
          <w:lang w:eastAsia="ko-KR"/>
        </w:rPr>
        <w:t xml:space="preserve"> access technologies, and to provide guidance to the technical</w:t>
      </w:r>
      <w:r>
        <w:rPr>
          <w:rFonts w:eastAsiaTheme="minorEastAsia"/>
          <w:b/>
          <w:i/>
        </w:rPr>
        <w:t xml:space="preserve"> </w:t>
      </w:r>
      <w:r>
        <w:rPr>
          <w:rFonts w:eastAsiaTheme="minorEastAsia"/>
          <w:b/>
          <w:i/>
          <w:lang w:eastAsia="ko-KR"/>
        </w:rPr>
        <w:t>work to be performed in RAN WGs</w:t>
      </w:r>
      <w:r>
        <w:rPr>
          <w:rFonts w:eastAsiaTheme="minorEastAsia"/>
          <w:b/>
          <w:i/>
        </w:rPr>
        <w:t xml:space="preserve"> </w:t>
      </w:r>
    </w:p>
    <w:p w:rsidR="004D6274" w:rsidRDefault="00585D9D">
      <w:pPr>
        <w:pStyle w:val="aff0"/>
        <w:numPr>
          <w:ilvl w:val="0"/>
          <w:numId w:val="21"/>
        </w:numPr>
        <w:snapToGrid w:val="0"/>
        <w:spacing w:beforeLines="50" w:before="120" w:after="120" w:line="240" w:lineRule="auto"/>
        <w:ind w:firstLineChars="0"/>
        <w:jc w:val="both"/>
        <w:rPr>
          <w:rFonts w:eastAsia="微软雅黑"/>
          <w:szCs w:val="20"/>
        </w:rPr>
      </w:pPr>
      <w:r>
        <w:rPr>
          <w:rFonts w:eastAsiaTheme="minorEastAsia"/>
          <w:b/>
          <w:i/>
        </w:rPr>
        <w:t xml:space="preserve">The </w:t>
      </w:r>
      <w:r>
        <w:rPr>
          <w:rFonts w:eastAsiaTheme="minorEastAsia" w:hint="eastAsia"/>
          <w:b/>
          <w:i/>
        </w:rPr>
        <w:t xml:space="preserve">scenarios and </w:t>
      </w:r>
      <w:r>
        <w:rPr>
          <w:rFonts w:eastAsiaTheme="minorEastAsia"/>
          <w:b/>
          <w:i/>
        </w:rPr>
        <w:t>requirements are not limited to TPR discussed in ITU-R WP5D</w:t>
      </w:r>
    </w:p>
    <w:p w:rsidR="004D6274" w:rsidRDefault="00585D9D">
      <w:pPr>
        <w:pStyle w:val="aff0"/>
        <w:numPr>
          <w:ilvl w:val="0"/>
          <w:numId w:val="21"/>
        </w:numPr>
        <w:snapToGrid w:val="0"/>
        <w:spacing w:beforeLines="50" w:before="120" w:after="120" w:line="240" w:lineRule="auto"/>
        <w:ind w:firstLineChars="0"/>
        <w:jc w:val="both"/>
        <w:rPr>
          <w:rFonts w:eastAsia="微软雅黑"/>
          <w:szCs w:val="20"/>
        </w:rPr>
      </w:pPr>
      <w:r>
        <w:rPr>
          <w:rFonts w:eastAsiaTheme="minorEastAsia" w:hint="eastAsia"/>
          <w:b/>
          <w:i/>
        </w:rPr>
        <w:t>The output of the whole study can be a single TR similar as TR 38.913.</w:t>
      </w:r>
    </w:p>
    <w:p w:rsidR="004D6274" w:rsidRDefault="004D6274">
      <w:pPr>
        <w:pStyle w:val="aff0"/>
        <w:snapToGrid w:val="0"/>
        <w:spacing w:beforeLines="50" w:before="120" w:after="120" w:line="240" w:lineRule="auto"/>
        <w:ind w:left="420" w:firstLineChars="0" w:firstLine="0"/>
        <w:jc w:val="both"/>
        <w:rPr>
          <w:rFonts w:eastAsia="微软雅黑"/>
          <w:szCs w:val="20"/>
          <w:highlight w:val="yellow"/>
        </w:rPr>
      </w:pPr>
    </w:p>
    <w:p w:rsidR="004D6274" w:rsidRDefault="00585D9D">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4D6274" w:rsidRDefault="00585D9D">
      <w:pPr>
        <w:numPr>
          <w:ilvl w:val="0"/>
          <w:numId w:val="22"/>
        </w:numPr>
        <w:autoSpaceDE w:val="0"/>
        <w:autoSpaceDN w:val="0"/>
        <w:adjustRightInd w:val="0"/>
        <w:snapToGrid w:val="0"/>
        <w:spacing w:after="0" w:line="240" w:lineRule="auto"/>
        <w:jc w:val="both"/>
        <w:rPr>
          <w:szCs w:val="20"/>
        </w:rPr>
      </w:pPr>
      <w:r>
        <w:rPr>
          <w:rFonts w:eastAsia="宋体"/>
          <w:bCs/>
          <w:szCs w:val="20"/>
        </w:rPr>
        <w:t>RP-240823 Additional Considerations for 6G Timeline Source: TSG Chairs</w:t>
      </w:r>
    </w:p>
    <w:p w:rsidR="004D6274" w:rsidRDefault="00585D9D">
      <w:pPr>
        <w:numPr>
          <w:ilvl w:val="0"/>
          <w:numId w:val="22"/>
        </w:numPr>
        <w:autoSpaceDE w:val="0"/>
        <w:autoSpaceDN w:val="0"/>
        <w:adjustRightInd w:val="0"/>
        <w:snapToGrid w:val="0"/>
        <w:spacing w:after="0" w:line="240" w:lineRule="auto"/>
        <w:jc w:val="both"/>
        <w:rPr>
          <w:szCs w:val="20"/>
        </w:rPr>
      </w:pPr>
      <w:r>
        <w:rPr>
          <w:rFonts w:eastAsiaTheme="minorEastAsia"/>
          <w:bCs/>
          <w:szCs w:val="20"/>
        </w:rPr>
        <w:t>RP-152257 “New Study Item Proposal: Study on Scenarios and Requirements for Next Generation Access Technologies”, CMCC</w:t>
      </w:r>
    </w:p>
    <w:p w:rsidR="004D6274" w:rsidRDefault="00585D9D">
      <w:pPr>
        <w:numPr>
          <w:ilvl w:val="0"/>
          <w:numId w:val="22"/>
        </w:numPr>
        <w:autoSpaceDE w:val="0"/>
        <w:autoSpaceDN w:val="0"/>
        <w:adjustRightInd w:val="0"/>
        <w:snapToGrid w:val="0"/>
        <w:spacing w:after="0" w:line="240" w:lineRule="auto"/>
        <w:jc w:val="both"/>
        <w:rPr>
          <w:szCs w:val="20"/>
        </w:rPr>
      </w:pPr>
      <w:r>
        <w:rPr>
          <w:rFonts w:eastAsiaTheme="minorEastAsia"/>
          <w:bCs/>
          <w:szCs w:val="20"/>
        </w:rPr>
        <w:t>RP-243202</w:t>
      </w:r>
      <w:r>
        <w:rPr>
          <w:rFonts w:eastAsiaTheme="minorEastAsia"/>
          <w:bCs/>
          <w:szCs w:val="20"/>
        </w:rPr>
        <w:tab/>
        <w:t>Liaison Statement to External Organizations Minimum requirements related to technical performance for IMT-2030 radio interface(s), source ITU-R WP5D, 3GPP TSG#106, December 2024</w:t>
      </w:r>
    </w:p>
    <w:p w:rsidR="004D6274" w:rsidRDefault="00585D9D">
      <w:pPr>
        <w:numPr>
          <w:ilvl w:val="0"/>
          <w:numId w:val="22"/>
        </w:numPr>
        <w:autoSpaceDE w:val="0"/>
        <w:autoSpaceDN w:val="0"/>
        <w:adjustRightInd w:val="0"/>
        <w:snapToGrid w:val="0"/>
        <w:spacing w:after="0" w:line="240" w:lineRule="auto"/>
        <w:jc w:val="both"/>
        <w:rPr>
          <w:szCs w:val="20"/>
        </w:rPr>
      </w:pPr>
      <w:r>
        <w:rPr>
          <w:rFonts w:eastAsiaTheme="minorEastAsia" w:hint="eastAsia"/>
          <w:szCs w:val="20"/>
        </w:rPr>
        <w:t>I</w:t>
      </w:r>
      <w:r>
        <w:rPr>
          <w:rFonts w:eastAsiaTheme="minorEastAsia"/>
          <w:szCs w:val="20"/>
        </w:rPr>
        <w:t xml:space="preserve">TU-R WP5D 563 Report on the 48th meeting of Working Party 5D (Geneva, 4-13 February 2025) Chair, WP 5D  </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rPr>
        <w:t>3</w:t>
      </w:r>
      <w:r>
        <w:rPr>
          <w:rFonts w:eastAsiaTheme="minorEastAsia"/>
          <w:szCs w:val="20"/>
        </w:rPr>
        <w:t>GPP TR 38.824 Study on physical layer enhancements for NR ultra-reliable and low latency case (URLLC)</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rPr>
        <w:t>3GPP TS 22.137 Service requirements for Integrated Sensing and Communication</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rPr>
        <w:t xml:space="preserve">S1-250977 </w:t>
      </w:r>
      <w:r>
        <w:rPr>
          <w:rFonts w:eastAsiaTheme="minorEastAsia" w:hint="eastAsia"/>
          <w:szCs w:val="20"/>
          <w:lang w:eastAsia="en-GB"/>
        </w:rPr>
        <w:t>3D factory model based AR guided task</w:t>
      </w:r>
      <w:r>
        <w:rPr>
          <w:rFonts w:eastAsiaTheme="minorEastAsia" w:hint="eastAsia"/>
          <w:szCs w:val="20"/>
        </w:rPr>
        <w:t xml:space="preserve">  </w:t>
      </w:r>
      <w:r>
        <w:rPr>
          <w:rFonts w:eastAsiaTheme="minorEastAsia" w:hint="eastAsia"/>
          <w:szCs w:val="20"/>
          <w:lang w:eastAsia="en-GB"/>
        </w:rPr>
        <w:t>ZTE Corporation, China Unicom, Huawei</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rPr>
        <w:t>S1-250970 New use case on Cooperating Mobile Robots Siemens, TNO, KPN, Fraunhofer IIS, Airbus, Robert Bosch GmbH</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lang w:eastAsia="ja-JP"/>
        </w:rPr>
        <w:t>S1-251015</w:t>
      </w:r>
      <w:r>
        <w:rPr>
          <w:rFonts w:eastAsiaTheme="minorEastAsia" w:hint="eastAsia"/>
          <w:szCs w:val="20"/>
        </w:rPr>
        <w:t xml:space="preserve"> </w:t>
      </w:r>
      <w:r>
        <w:rPr>
          <w:rFonts w:eastAsiaTheme="minorEastAsia" w:hint="eastAsia"/>
          <w:szCs w:val="20"/>
          <w:lang w:eastAsia="en-GB"/>
        </w:rPr>
        <w:t>Collaborative Awareness in Dynamic Environments - Enhancing Mutual Decision-Making through Real-Time Data Sharing</w:t>
      </w:r>
      <w:r>
        <w:rPr>
          <w:rFonts w:eastAsiaTheme="minorEastAsia" w:hint="eastAsia"/>
          <w:szCs w:val="20"/>
        </w:rPr>
        <w:t xml:space="preserve"> </w:t>
      </w:r>
      <w:r>
        <w:rPr>
          <w:rFonts w:eastAsiaTheme="minorEastAsia" w:hint="eastAsia"/>
          <w:szCs w:val="20"/>
          <w:lang w:eastAsia="en-GB"/>
        </w:rPr>
        <w:t>LG Electronics</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rPr>
        <w:t xml:space="preserve">S1-250973 Use cases on high-rate aircraft communication services in 6G Airbus, Deutsche Telekom, Ericsson, Fraunhofer IIS </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lang w:eastAsia="ja-JP"/>
        </w:rPr>
        <w:t>S1-250972</w:t>
      </w:r>
      <w:r>
        <w:rPr>
          <w:rFonts w:eastAsiaTheme="minorEastAsia" w:hint="eastAsia"/>
          <w:szCs w:val="20"/>
        </w:rPr>
        <w:t xml:space="preserve"> </w:t>
      </w:r>
      <w:r>
        <w:rPr>
          <w:rFonts w:eastAsiaTheme="minorEastAsia" w:hint="eastAsia"/>
          <w:szCs w:val="20"/>
          <w:lang w:eastAsia="en-GB"/>
        </w:rPr>
        <w:t>Immersive Media Services for AAM Enabled by 6G NTN</w:t>
      </w:r>
      <w:r>
        <w:rPr>
          <w:rFonts w:eastAsiaTheme="minorEastAsia" w:hint="eastAsia"/>
          <w:szCs w:val="20"/>
        </w:rPr>
        <w:t xml:space="preserve"> </w:t>
      </w:r>
      <w:r>
        <w:rPr>
          <w:rFonts w:eastAsiaTheme="minorEastAsia" w:hint="eastAsia"/>
          <w:szCs w:val="20"/>
          <w:lang w:eastAsia="en-GB"/>
        </w:rPr>
        <w:t>LG Electronics</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lang w:eastAsia="ja-JP"/>
        </w:rPr>
        <w:t>S1-250971</w:t>
      </w:r>
      <w:r>
        <w:rPr>
          <w:rFonts w:eastAsiaTheme="minorEastAsia" w:hint="eastAsia"/>
          <w:szCs w:val="20"/>
        </w:rPr>
        <w:t xml:space="preserve"> </w:t>
      </w:r>
      <w:r>
        <w:rPr>
          <w:rFonts w:eastAsiaTheme="minorEastAsia" w:hint="eastAsia"/>
          <w:szCs w:val="20"/>
          <w:lang w:eastAsia="en-GB"/>
        </w:rPr>
        <w:t>New use case on Realtime Digital Twins</w:t>
      </w:r>
      <w:r>
        <w:rPr>
          <w:rFonts w:eastAsiaTheme="minorEastAsia" w:hint="eastAsia"/>
          <w:szCs w:val="20"/>
        </w:rPr>
        <w:t xml:space="preserve"> </w:t>
      </w:r>
      <w:r>
        <w:rPr>
          <w:rFonts w:eastAsiaTheme="minorEastAsia" w:hint="eastAsia"/>
          <w:szCs w:val="20"/>
          <w:lang w:eastAsia="en-GB"/>
        </w:rPr>
        <w:t>Nokia, TNO, KPN, Telefonica, Orange</w:t>
      </w:r>
      <w:r>
        <w:rPr>
          <w:rFonts w:eastAsiaTheme="minorEastAsia" w:hint="eastAsia"/>
          <w:szCs w:val="20"/>
          <w:lang w:eastAsia="ja-JP"/>
        </w:rPr>
        <w:t>, Siemens, nvidia, Vodafone</w:t>
      </w:r>
      <w:r>
        <w:rPr>
          <w:rFonts w:eastAsiaTheme="minorEastAsia" w:hint="eastAsia"/>
          <w:szCs w:val="20"/>
        </w:rPr>
        <w:t xml:space="preserve"> </w:t>
      </w:r>
    </w:p>
    <w:p w:rsidR="004D6274" w:rsidRDefault="00585D9D">
      <w:pPr>
        <w:numPr>
          <w:ilvl w:val="0"/>
          <w:numId w:val="22"/>
        </w:numPr>
        <w:autoSpaceDE w:val="0"/>
        <w:autoSpaceDN w:val="0"/>
        <w:adjustRightInd w:val="0"/>
        <w:snapToGrid w:val="0"/>
        <w:spacing w:after="0" w:line="240" w:lineRule="auto"/>
        <w:jc w:val="both"/>
        <w:rPr>
          <w:rFonts w:eastAsiaTheme="minorEastAsia"/>
          <w:szCs w:val="20"/>
        </w:rPr>
      </w:pPr>
      <w:r>
        <w:rPr>
          <w:rFonts w:eastAsiaTheme="minorEastAsia" w:hint="eastAsia"/>
          <w:szCs w:val="20"/>
          <w:lang w:eastAsia="ja-JP"/>
        </w:rPr>
        <w:t>S1-250815</w:t>
      </w:r>
      <w:r>
        <w:rPr>
          <w:rFonts w:eastAsiaTheme="minorEastAsia" w:hint="eastAsia"/>
          <w:szCs w:val="20"/>
        </w:rPr>
        <w:t xml:space="preserve"> Pseudo-CR on on-board communication for UAM aircrafts Nokia, Huawei</w:t>
      </w:r>
    </w:p>
    <w:p w:rsidR="004D6274" w:rsidRDefault="004D6274">
      <w:pPr>
        <w:autoSpaceDE w:val="0"/>
        <w:autoSpaceDN w:val="0"/>
        <w:adjustRightInd w:val="0"/>
        <w:snapToGrid w:val="0"/>
        <w:spacing w:after="0" w:line="240" w:lineRule="auto"/>
        <w:jc w:val="both"/>
        <w:rPr>
          <w:rFonts w:eastAsiaTheme="minorEastAsia"/>
          <w:szCs w:val="20"/>
        </w:rPr>
      </w:pPr>
    </w:p>
    <w:p w:rsidR="004D6274" w:rsidRDefault="004D6274">
      <w:pPr>
        <w:autoSpaceDE w:val="0"/>
        <w:autoSpaceDN w:val="0"/>
        <w:adjustRightInd w:val="0"/>
        <w:snapToGrid w:val="0"/>
        <w:spacing w:after="0" w:line="240" w:lineRule="auto"/>
        <w:jc w:val="both"/>
        <w:rPr>
          <w:rFonts w:eastAsiaTheme="minorEastAsia"/>
          <w:szCs w:val="20"/>
        </w:rPr>
      </w:pPr>
    </w:p>
    <w:p w:rsidR="004D6274" w:rsidRDefault="00585D9D">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Appendix: preliminary simulation</w:t>
      </w:r>
    </w:p>
    <w:p w:rsidR="004D6274" w:rsidRDefault="004D6274">
      <w:pPr>
        <w:snapToGrid w:val="0"/>
        <w:rPr>
          <w:rFonts w:eastAsiaTheme="minorEastAsia"/>
        </w:rPr>
      </w:pPr>
    </w:p>
    <w:p w:rsidR="004D6274" w:rsidRDefault="00585D9D">
      <w:pPr>
        <w:snapToGrid w:val="0"/>
        <w:outlineLvl w:val="1"/>
        <w:rPr>
          <w:rFonts w:eastAsiaTheme="minorEastAsia"/>
          <w:b/>
          <w:sz w:val="21"/>
        </w:rPr>
      </w:pPr>
      <w:r>
        <w:rPr>
          <w:rFonts w:eastAsiaTheme="minorEastAsia"/>
          <w:b/>
          <w:sz w:val="21"/>
        </w:rPr>
        <w:t>Spectral efficiency</w:t>
      </w:r>
    </w:p>
    <w:p w:rsidR="004D6274" w:rsidRDefault="00585D9D">
      <w:pPr>
        <w:snapToGrid w:val="0"/>
        <w:spacing w:afterLines="50" w:after="120"/>
        <w:jc w:val="center"/>
        <w:rPr>
          <w:rFonts w:eastAsia="宋体"/>
          <w:szCs w:val="24"/>
        </w:rPr>
      </w:pPr>
      <w:r>
        <w:t>T</w:t>
      </w:r>
      <w:r>
        <w:rPr>
          <w:rFonts w:hint="eastAsia"/>
        </w:rPr>
        <w:t>able</w:t>
      </w:r>
      <w:r>
        <w:t>: Spectral efficiency of different MIMO configurations for dense urban for DL@</w:t>
      </w:r>
      <w:r>
        <w:rPr>
          <w:rFonts w:eastAsia="宋体" w:hint="eastAsia"/>
        </w:rPr>
        <w:t>U6G</w:t>
      </w:r>
    </w:p>
    <w:tbl>
      <w:tblPr>
        <w:tblStyle w:val="af7"/>
        <w:tblW w:w="0" w:type="auto"/>
        <w:tblLook w:val="04A0" w:firstRow="1" w:lastRow="0" w:firstColumn="1" w:lastColumn="0" w:noHBand="0" w:noVBand="1"/>
      </w:tblPr>
      <w:tblGrid>
        <w:gridCol w:w="1062"/>
        <w:gridCol w:w="2701"/>
        <w:gridCol w:w="1901"/>
        <w:gridCol w:w="1925"/>
        <w:gridCol w:w="1761"/>
      </w:tblGrid>
      <w:tr w:rsidR="004D6274">
        <w:trPr>
          <w:trHeight w:val="670"/>
        </w:trPr>
        <w:tc>
          <w:tcPr>
            <w:tcW w:w="3894" w:type="dxa"/>
            <w:gridSpan w:val="2"/>
            <w:shd w:val="clear" w:color="auto" w:fill="BDD6EE" w:themeFill="accent1" w:themeFillTint="66"/>
            <w:vAlign w:val="center"/>
          </w:tcPr>
          <w:p w:rsidR="004D6274" w:rsidRDefault="00585D9D">
            <w:pPr>
              <w:snapToGrid w:val="0"/>
              <w:spacing w:after="0" w:line="240" w:lineRule="auto"/>
              <w:rPr>
                <w:rFonts w:eastAsiaTheme="minorEastAsia"/>
              </w:rPr>
            </w:pPr>
            <w:r>
              <w:rPr>
                <w:rFonts w:eastAsiaTheme="minorEastAsia" w:hint="eastAsia"/>
              </w:rPr>
              <w:t>T</w:t>
            </w:r>
            <w:r>
              <w:rPr>
                <w:rFonts w:eastAsiaTheme="minorEastAsia"/>
              </w:rPr>
              <w:t>x/Rx antenna configuration</w:t>
            </w:r>
          </w:p>
        </w:tc>
        <w:tc>
          <w:tcPr>
            <w:tcW w:w="1944" w:type="dxa"/>
            <w:shd w:val="clear" w:color="auto" w:fill="BDD6EE" w:themeFill="accent1" w:themeFillTint="66"/>
            <w:vAlign w:val="center"/>
          </w:tcPr>
          <w:p w:rsidR="004D6274" w:rsidRDefault="00585D9D">
            <w:pPr>
              <w:snapToGrid w:val="0"/>
              <w:spacing w:after="0" w:line="240" w:lineRule="auto"/>
              <w:rPr>
                <w:rFonts w:eastAsiaTheme="minorEastAsia"/>
              </w:rPr>
            </w:pPr>
            <w:r>
              <w:rPr>
                <w:rFonts w:eastAsiaTheme="minorEastAsia" w:hint="eastAsia"/>
              </w:rPr>
              <w:t>A</w:t>
            </w:r>
            <w:r>
              <w:rPr>
                <w:rFonts w:eastAsiaTheme="minorEastAsia"/>
              </w:rPr>
              <w:t xml:space="preserve">verage spectral efficiency (bit/s/Hz; </w:t>
            </w:r>
            <w:r>
              <w:rPr>
                <w:rFonts w:eastAsiaTheme="minorEastAsia"/>
                <w:color w:val="4472C4" w:themeColor="accent5"/>
              </w:rPr>
              <w:t>multiple of IMT-2020 requirement</w:t>
            </w:r>
            <w:r>
              <w:rPr>
                <w:rFonts w:eastAsiaTheme="minorEastAsia"/>
              </w:rPr>
              <w:t>)</w:t>
            </w:r>
          </w:p>
        </w:tc>
        <w:tc>
          <w:tcPr>
            <w:tcW w:w="1944" w:type="dxa"/>
            <w:shd w:val="clear" w:color="auto" w:fill="BDD6EE" w:themeFill="accent1" w:themeFillTint="66"/>
            <w:vAlign w:val="center"/>
          </w:tcPr>
          <w:p w:rsidR="004D6274" w:rsidRDefault="00585D9D">
            <w:pPr>
              <w:snapToGrid w:val="0"/>
              <w:spacing w:after="0" w:line="240" w:lineRule="auto"/>
              <w:rPr>
                <w:rFonts w:eastAsiaTheme="minorEastAsia"/>
              </w:rPr>
            </w:pPr>
            <w:r>
              <w:rPr>
                <w:rFonts w:eastAsiaTheme="minorEastAsia" w:hint="eastAsia"/>
              </w:rPr>
              <w:t>5</w:t>
            </w:r>
            <w:r>
              <w:rPr>
                <w:rFonts w:eastAsiaTheme="minorEastAsia"/>
                <w:vertAlign w:val="superscript"/>
              </w:rPr>
              <w:t>th</w:t>
            </w:r>
            <w:r>
              <w:rPr>
                <w:rFonts w:eastAsiaTheme="minorEastAsia"/>
              </w:rPr>
              <w:t xml:space="preserve"> percentile user spectral efficiency (bit/s/Hz</w:t>
            </w:r>
            <w:r>
              <w:rPr>
                <w:rFonts w:eastAsiaTheme="minorEastAsia" w:hint="eastAsia"/>
              </w:rPr>
              <w:t>;</w:t>
            </w:r>
            <w:r>
              <w:rPr>
                <w:rFonts w:eastAsiaTheme="minorEastAsia"/>
                <w:color w:val="4472C4" w:themeColor="accent5"/>
              </w:rPr>
              <w:t>multiple of IMT-2020 requirement</w:t>
            </w:r>
            <w:r>
              <w:rPr>
                <w:rFonts w:eastAsiaTheme="minorEastAsia"/>
              </w:rPr>
              <w:t>)</w:t>
            </w:r>
          </w:p>
        </w:tc>
        <w:tc>
          <w:tcPr>
            <w:tcW w:w="1794" w:type="dxa"/>
            <w:shd w:val="clear" w:color="auto" w:fill="BDD6EE" w:themeFill="accent1" w:themeFillTint="66"/>
            <w:vAlign w:val="center"/>
          </w:tcPr>
          <w:p w:rsidR="004D6274" w:rsidRDefault="00585D9D">
            <w:pPr>
              <w:snapToGrid w:val="0"/>
              <w:spacing w:after="0" w:line="240" w:lineRule="auto"/>
              <w:rPr>
                <w:rFonts w:eastAsiaTheme="minorEastAsia"/>
              </w:rPr>
            </w:pPr>
            <w:r>
              <w:rPr>
                <w:rFonts w:eastAsiaTheme="minorEastAsia"/>
              </w:rPr>
              <w:t xml:space="preserve">ITU </w:t>
            </w:r>
            <w:r>
              <w:rPr>
                <w:rFonts w:eastAsiaTheme="minorEastAsia" w:hint="eastAsia"/>
              </w:rPr>
              <w:t>I</w:t>
            </w:r>
            <w:r>
              <w:rPr>
                <w:rFonts w:eastAsiaTheme="minorEastAsia"/>
              </w:rPr>
              <w:t>MT-2020 spectral efficiency requirements (bit/s/Hz)</w:t>
            </w:r>
          </w:p>
        </w:tc>
      </w:tr>
      <w:tr w:rsidR="004D6274">
        <w:trPr>
          <w:trHeight w:val="498"/>
        </w:trPr>
        <w:tc>
          <w:tcPr>
            <w:tcW w:w="1101" w:type="dxa"/>
            <w:vMerge w:val="restart"/>
            <w:vAlign w:val="center"/>
          </w:tcPr>
          <w:p w:rsidR="004D6274" w:rsidRDefault="00585D9D">
            <w:pPr>
              <w:snapToGrid w:val="0"/>
              <w:spacing w:after="0" w:line="240" w:lineRule="auto"/>
              <w:rPr>
                <w:rFonts w:eastAsiaTheme="minorEastAsia"/>
              </w:rPr>
            </w:pPr>
            <w:r>
              <w:rPr>
                <w:rFonts w:eastAsiaTheme="minorEastAsia" w:hint="eastAsia"/>
              </w:rPr>
              <w:t>8</w:t>
            </w:r>
            <w:r>
              <w:rPr>
                <w:rFonts w:eastAsiaTheme="minorEastAsia"/>
              </w:rPr>
              <w:t>R</w:t>
            </w: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[32,16,2,1,1], 256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 [2,2,2,1,1]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3</w:t>
            </w:r>
            <w:r>
              <w:rPr>
                <w:rFonts w:eastAsiaTheme="minorEastAsia"/>
              </w:rPr>
              <w:t xml:space="preserve">3.806 </w:t>
            </w:r>
            <w:r>
              <w:rPr>
                <w:rFonts w:eastAsiaTheme="minorEastAsia"/>
                <w:color w:val="4472C4" w:themeColor="accent5"/>
              </w:rPr>
              <w:t>(4.33*)</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9</w:t>
            </w:r>
            <w:r>
              <w:rPr>
                <w:rFonts w:eastAsiaTheme="minorEastAsia"/>
              </w:rPr>
              <w:t xml:space="preserve">.721 </w:t>
            </w:r>
            <w:r>
              <w:rPr>
                <w:rFonts w:eastAsiaTheme="minorEastAsia"/>
                <w:color w:val="4472C4" w:themeColor="accent5"/>
              </w:rPr>
              <w:t>(43.20*)</w:t>
            </w:r>
          </w:p>
        </w:tc>
        <w:tc>
          <w:tcPr>
            <w:tcW w:w="1794" w:type="dxa"/>
            <w:vMerge w:val="restart"/>
            <w:vAlign w:val="center"/>
          </w:tcPr>
          <w:p w:rsidR="004D6274" w:rsidRDefault="00585D9D">
            <w:pPr>
              <w:snapToGrid w:val="0"/>
              <w:spacing w:after="0" w:line="240" w:lineRule="auto"/>
              <w:rPr>
                <w:rFonts w:eastAsiaTheme="minorEastAsia"/>
              </w:rPr>
            </w:pPr>
            <w:r>
              <w:rPr>
                <w:rFonts w:eastAsiaTheme="minorEastAsia" w:hint="eastAsia"/>
              </w:rPr>
              <w:t>0</w:t>
            </w:r>
            <w:r>
              <w:rPr>
                <w:rFonts w:eastAsiaTheme="minorEastAsia"/>
              </w:rPr>
              <w:t>.225 for 5</w:t>
            </w:r>
            <w:r>
              <w:rPr>
                <w:rFonts w:eastAsiaTheme="minorEastAsia"/>
                <w:vertAlign w:val="superscript"/>
              </w:rPr>
              <w:t>th</w:t>
            </w:r>
            <w:r>
              <w:rPr>
                <w:rFonts w:eastAsiaTheme="minorEastAsia"/>
              </w:rPr>
              <w:t xml:space="preserve"> percentile user</w:t>
            </w:r>
          </w:p>
          <w:p w:rsidR="004D6274" w:rsidRDefault="004D6274">
            <w:pPr>
              <w:snapToGrid w:val="0"/>
              <w:spacing w:after="0" w:line="240" w:lineRule="auto"/>
              <w:rPr>
                <w:rFonts w:eastAsiaTheme="minorEastAsia"/>
              </w:rPr>
            </w:pPr>
          </w:p>
          <w:p w:rsidR="004D6274" w:rsidRDefault="00585D9D">
            <w:pPr>
              <w:snapToGrid w:val="0"/>
              <w:spacing w:after="0" w:line="240" w:lineRule="auto"/>
              <w:rPr>
                <w:rFonts w:eastAsiaTheme="minorEastAsia"/>
              </w:rPr>
            </w:pPr>
            <w:r>
              <w:rPr>
                <w:rFonts w:eastAsiaTheme="minorEastAsia"/>
              </w:rPr>
              <w:t>7.8 for average</w:t>
            </w:r>
          </w:p>
        </w:tc>
      </w:tr>
      <w:tr w:rsidR="004D6274">
        <w:trPr>
          <w:trHeight w:val="498"/>
        </w:trPr>
        <w:tc>
          <w:tcPr>
            <w:tcW w:w="1101" w:type="dxa"/>
            <w:vMerge/>
            <w:vAlign w:val="center"/>
          </w:tcPr>
          <w:p w:rsidR="004D6274" w:rsidRDefault="004D6274">
            <w:pPr>
              <w:snapToGrid w:val="0"/>
              <w:spacing w:after="0" w:line="240" w:lineRule="auto"/>
              <w:rPr>
                <w:rFonts w:eastAsiaTheme="minorEastAsia"/>
              </w:rPr>
            </w:pP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[32,16,2,1,1], 128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w:t>
            </w:r>
            <w:r>
              <w:t xml:space="preserve"> </w:t>
            </w:r>
            <w:r>
              <w:rPr>
                <w:rFonts w:eastAsiaTheme="minorEastAsia"/>
              </w:rPr>
              <w:t>[2,2,2,1,1]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2</w:t>
            </w:r>
            <w:r>
              <w:rPr>
                <w:rFonts w:eastAsiaTheme="minorEastAsia"/>
              </w:rPr>
              <w:t>8.420</w:t>
            </w:r>
            <w:r>
              <w:rPr>
                <w:rFonts w:eastAsiaTheme="minorEastAsia"/>
                <w:color w:val="4472C4" w:themeColor="accent5"/>
              </w:rPr>
              <w:t xml:space="preserve"> (3.64*)</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7</w:t>
            </w:r>
            <w:r>
              <w:rPr>
                <w:rFonts w:eastAsiaTheme="minorEastAsia"/>
              </w:rPr>
              <w:t xml:space="preserve">.438 </w:t>
            </w:r>
            <w:r>
              <w:rPr>
                <w:rFonts w:eastAsiaTheme="minorEastAsia"/>
                <w:color w:val="4472C4" w:themeColor="accent5"/>
              </w:rPr>
              <w:t>(33.06*)</w:t>
            </w:r>
          </w:p>
        </w:tc>
        <w:tc>
          <w:tcPr>
            <w:tcW w:w="1794" w:type="dxa"/>
            <w:vMerge/>
            <w:vAlign w:val="center"/>
          </w:tcPr>
          <w:p w:rsidR="004D6274" w:rsidRDefault="004D6274">
            <w:pPr>
              <w:snapToGrid w:val="0"/>
              <w:spacing w:after="0" w:line="240" w:lineRule="auto"/>
              <w:rPr>
                <w:rFonts w:eastAsiaTheme="minorEastAsia"/>
              </w:rPr>
            </w:pPr>
          </w:p>
        </w:tc>
      </w:tr>
      <w:tr w:rsidR="004D6274">
        <w:trPr>
          <w:trHeight w:val="498"/>
        </w:trPr>
        <w:tc>
          <w:tcPr>
            <w:tcW w:w="1101" w:type="dxa"/>
            <w:vMerge/>
            <w:vAlign w:val="center"/>
          </w:tcPr>
          <w:p w:rsidR="004D6274" w:rsidRDefault="004D6274">
            <w:pPr>
              <w:snapToGrid w:val="0"/>
              <w:spacing w:after="0" w:line="240" w:lineRule="auto"/>
              <w:rPr>
                <w:rFonts w:eastAsiaTheme="minorEastAsia"/>
              </w:rPr>
            </w:pP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[12,4,2,1,1], 32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w:t>
            </w:r>
            <w:r>
              <w:t xml:space="preserve"> </w:t>
            </w:r>
            <w:r>
              <w:rPr>
                <w:rFonts w:eastAsiaTheme="minorEastAsia"/>
              </w:rPr>
              <w:t>[2,2,2,1,1]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1</w:t>
            </w:r>
            <w:r>
              <w:rPr>
                <w:rFonts w:eastAsiaTheme="minorEastAsia"/>
              </w:rPr>
              <w:t xml:space="preserve">0.409 </w:t>
            </w:r>
            <w:r>
              <w:rPr>
                <w:rFonts w:eastAsiaTheme="minorEastAsia" w:hint="eastAsia"/>
                <w:color w:val="4472C4" w:themeColor="accent5"/>
              </w:rPr>
              <w:t>(</w:t>
            </w:r>
            <w:r>
              <w:rPr>
                <w:rFonts w:eastAsiaTheme="minorEastAsia"/>
                <w:color w:val="4472C4" w:themeColor="accent5"/>
              </w:rPr>
              <w:t>1.33*)</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0</w:t>
            </w:r>
            <w:r>
              <w:rPr>
                <w:rFonts w:eastAsiaTheme="minorEastAsia"/>
              </w:rPr>
              <w:t xml:space="preserve">.738 </w:t>
            </w:r>
            <w:r>
              <w:rPr>
                <w:rFonts w:eastAsiaTheme="minorEastAsia"/>
                <w:color w:val="4472C4" w:themeColor="accent5"/>
              </w:rPr>
              <w:t>(3.28*)</w:t>
            </w:r>
          </w:p>
        </w:tc>
        <w:tc>
          <w:tcPr>
            <w:tcW w:w="1794" w:type="dxa"/>
            <w:vMerge/>
            <w:vAlign w:val="center"/>
          </w:tcPr>
          <w:p w:rsidR="004D6274" w:rsidRDefault="004D6274">
            <w:pPr>
              <w:snapToGrid w:val="0"/>
              <w:spacing w:after="0" w:line="240" w:lineRule="auto"/>
              <w:rPr>
                <w:rFonts w:eastAsiaTheme="minorEastAsia"/>
              </w:rPr>
            </w:pPr>
          </w:p>
        </w:tc>
      </w:tr>
      <w:tr w:rsidR="004D6274">
        <w:trPr>
          <w:trHeight w:val="165"/>
        </w:trPr>
        <w:tc>
          <w:tcPr>
            <w:tcW w:w="1101" w:type="dxa"/>
            <w:vMerge w:val="restart"/>
            <w:vAlign w:val="center"/>
          </w:tcPr>
          <w:p w:rsidR="004D6274" w:rsidRDefault="00585D9D">
            <w:pPr>
              <w:snapToGrid w:val="0"/>
              <w:spacing w:after="0" w:line="240" w:lineRule="auto"/>
              <w:rPr>
                <w:rFonts w:eastAsiaTheme="minorEastAsia"/>
              </w:rPr>
            </w:pPr>
            <w:r>
              <w:rPr>
                <w:rFonts w:eastAsiaTheme="minorEastAsia" w:hint="eastAsia"/>
              </w:rPr>
              <w:t>4</w:t>
            </w:r>
            <w:r>
              <w:rPr>
                <w:rFonts w:eastAsiaTheme="minorEastAsia"/>
              </w:rPr>
              <w:t>R</w:t>
            </w: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[64,16,2,1,1], 512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 [1,2,2,1,1]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2</w:t>
            </w:r>
            <w:r>
              <w:rPr>
                <w:rFonts w:eastAsiaTheme="minorEastAsia"/>
              </w:rPr>
              <w:t xml:space="preserve">4.385 </w:t>
            </w:r>
            <w:r>
              <w:rPr>
                <w:rFonts w:eastAsiaTheme="minorEastAsia"/>
                <w:color w:val="4472C4" w:themeColor="accent5"/>
              </w:rPr>
              <w:t>(3.12*)</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2</w:t>
            </w:r>
            <w:r>
              <w:rPr>
                <w:rFonts w:eastAsiaTheme="minorEastAsia"/>
              </w:rPr>
              <w:t xml:space="preserve">.017 </w:t>
            </w:r>
            <w:r>
              <w:rPr>
                <w:rFonts w:eastAsiaTheme="minorEastAsia"/>
                <w:color w:val="4472C4" w:themeColor="accent5"/>
              </w:rPr>
              <w:t>(8.96*)</w:t>
            </w:r>
          </w:p>
        </w:tc>
        <w:tc>
          <w:tcPr>
            <w:tcW w:w="1794" w:type="dxa"/>
            <w:vMerge/>
            <w:vAlign w:val="center"/>
          </w:tcPr>
          <w:p w:rsidR="004D6274" w:rsidRDefault="004D6274">
            <w:pPr>
              <w:snapToGrid w:val="0"/>
              <w:spacing w:after="0" w:line="240" w:lineRule="auto"/>
              <w:rPr>
                <w:rFonts w:eastAsiaTheme="minorEastAsia"/>
              </w:rPr>
            </w:pPr>
          </w:p>
        </w:tc>
      </w:tr>
      <w:tr w:rsidR="004D6274">
        <w:trPr>
          <w:trHeight w:val="172"/>
        </w:trPr>
        <w:tc>
          <w:tcPr>
            <w:tcW w:w="1101" w:type="dxa"/>
            <w:vMerge/>
            <w:vAlign w:val="center"/>
          </w:tcPr>
          <w:p w:rsidR="004D6274" w:rsidRDefault="004D6274">
            <w:pPr>
              <w:snapToGrid w:val="0"/>
              <w:spacing w:after="0" w:line="240" w:lineRule="auto"/>
              <w:rPr>
                <w:rFonts w:eastAsiaTheme="minorEastAsia"/>
              </w:rPr>
            </w:pP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[32,16,2,1,1], 256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 [1,2,2,1,1]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1</w:t>
            </w:r>
            <w:r>
              <w:rPr>
                <w:rFonts w:eastAsiaTheme="minorEastAsia"/>
              </w:rPr>
              <w:t xml:space="preserve">5.937 </w:t>
            </w:r>
            <w:r>
              <w:rPr>
                <w:rFonts w:eastAsiaTheme="minorEastAsia"/>
                <w:color w:val="4472C4" w:themeColor="accent5"/>
              </w:rPr>
              <w:t>(2.04*)</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1</w:t>
            </w:r>
            <w:r>
              <w:rPr>
                <w:rFonts w:eastAsiaTheme="minorEastAsia"/>
              </w:rPr>
              <w:t xml:space="preserve">.335 </w:t>
            </w:r>
            <w:r>
              <w:rPr>
                <w:rFonts w:eastAsiaTheme="minorEastAsia"/>
                <w:color w:val="4472C4" w:themeColor="accent5"/>
              </w:rPr>
              <w:t>(5.93*)</w:t>
            </w:r>
          </w:p>
        </w:tc>
        <w:tc>
          <w:tcPr>
            <w:tcW w:w="1794" w:type="dxa"/>
            <w:vMerge/>
            <w:vAlign w:val="center"/>
          </w:tcPr>
          <w:p w:rsidR="004D6274" w:rsidRDefault="004D6274">
            <w:pPr>
              <w:snapToGrid w:val="0"/>
              <w:spacing w:after="0" w:line="240" w:lineRule="auto"/>
              <w:rPr>
                <w:rFonts w:eastAsiaTheme="minorEastAsia"/>
              </w:rPr>
            </w:pPr>
          </w:p>
        </w:tc>
      </w:tr>
      <w:tr w:rsidR="004D6274">
        <w:trPr>
          <w:trHeight w:val="172"/>
        </w:trPr>
        <w:tc>
          <w:tcPr>
            <w:tcW w:w="1101" w:type="dxa"/>
            <w:vMerge/>
            <w:vAlign w:val="center"/>
          </w:tcPr>
          <w:p w:rsidR="004D6274" w:rsidRDefault="004D6274">
            <w:pPr>
              <w:snapToGrid w:val="0"/>
              <w:spacing w:after="0" w:line="240" w:lineRule="auto"/>
              <w:rPr>
                <w:rFonts w:eastAsiaTheme="minorEastAsia"/>
              </w:rPr>
            </w:pP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[32,16,2,1,1], 128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 [1,2,2,1,1]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1</w:t>
            </w:r>
            <w:r>
              <w:rPr>
                <w:rFonts w:eastAsiaTheme="minorEastAsia"/>
              </w:rPr>
              <w:t xml:space="preserve">2.054 </w:t>
            </w:r>
            <w:r>
              <w:rPr>
                <w:rFonts w:eastAsiaTheme="minorEastAsia"/>
                <w:color w:val="4472C4" w:themeColor="accent5"/>
              </w:rPr>
              <w:t>(1.54*)</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1</w:t>
            </w:r>
            <w:r>
              <w:rPr>
                <w:rFonts w:eastAsiaTheme="minorEastAsia"/>
              </w:rPr>
              <w:t xml:space="preserve">.009 </w:t>
            </w:r>
            <w:r>
              <w:rPr>
                <w:rFonts w:eastAsiaTheme="minorEastAsia"/>
                <w:color w:val="4472C4" w:themeColor="accent5"/>
              </w:rPr>
              <w:t>(4.48*)</w:t>
            </w:r>
          </w:p>
        </w:tc>
        <w:tc>
          <w:tcPr>
            <w:tcW w:w="1794" w:type="dxa"/>
            <w:vMerge/>
            <w:vAlign w:val="center"/>
          </w:tcPr>
          <w:p w:rsidR="004D6274" w:rsidRDefault="004D6274">
            <w:pPr>
              <w:snapToGrid w:val="0"/>
              <w:spacing w:after="0" w:line="240" w:lineRule="auto"/>
              <w:rPr>
                <w:rFonts w:eastAsiaTheme="minorEastAsia"/>
              </w:rPr>
            </w:pPr>
          </w:p>
        </w:tc>
      </w:tr>
      <w:tr w:rsidR="004D6274">
        <w:trPr>
          <w:trHeight w:val="172"/>
        </w:trPr>
        <w:tc>
          <w:tcPr>
            <w:tcW w:w="1101" w:type="dxa"/>
            <w:vMerge/>
            <w:vAlign w:val="center"/>
          </w:tcPr>
          <w:p w:rsidR="004D6274" w:rsidRDefault="004D6274">
            <w:pPr>
              <w:snapToGrid w:val="0"/>
              <w:spacing w:after="0" w:line="240" w:lineRule="auto"/>
              <w:rPr>
                <w:rFonts w:eastAsiaTheme="minorEastAsia"/>
              </w:rPr>
            </w:pPr>
          </w:p>
        </w:tc>
        <w:tc>
          <w:tcPr>
            <w:tcW w:w="2793" w:type="dxa"/>
            <w:vAlign w:val="center"/>
          </w:tcPr>
          <w:p w:rsidR="004D6274" w:rsidRDefault="00585D9D">
            <w:pPr>
              <w:snapToGrid w:val="0"/>
              <w:spacing w:after="0" w:line="240" w:lineRule="auto"/>
              <w:rPr>
                <w:rFonts w:eastAsiaTheme="minorEastAsia"/>
              </w:rPr>
            </w:pPr>
            <w:r>
              <w:rPr>
                <w:rFonts w:eastAsiaTheme="minorEastAsia" w:hint="eastAsia"/>
              </w:rPr>
              <w:t>B</w:t>
            </w:r>
            <w:r>
              <w:rPr>
                <w:rFonts w:eastAsiaTheme="minorEastAsia"/>
              </w:rPr>
              <w:t>S: [12,4,2,1,1], 32 port</w:t>
            </w:r>
          </w:p>
          <w:p w:rsidR="004D6274" w:rsidRDefault="00585D9D">
            <w:pPr>
              <w:snapToGrid w:val="0"/>
              <w:spacing w:after="0" w:line="240" w:lineRule="auto"/>
              <w:rPr>
                <w:rFonts w:eastAsiaTheme="minorEastAsia"/>
              </w:rPr>
            </w:pPr>
            <w:r>
              <w:rPr>
                <w:rFonts w:eastAsiaTheme="minorEastAsia" w:hint="eastAsia"/>
              </w:rPr>
              <w:t>U</w:t>
            </w:r>
            <w:r>
              <w:rPr>
                <w:rFonts w:eastAsiaTheme="minorEastAsia"/>
              </w:rPr>
              <w:t>E: [1,2,2,1,1]</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3</w:t>
            </w:r>
            <w:r>
              <w:rPr>
                <w:rFonts w:eastAsiaTheme="minorEastAsia"/>
              </w:rPr>
              <w:t xml:space="preserve">.527 </w:t>
            </w:r>
            <w:r>
              <w:rPr>
                <w:rFonts w:eastAsiaTheme="minorEastAsia"/>
                <w:color w:val="4472C4" w:themeColor="accent5"/>
              </w:rPr>
              <w:t>(0.45*)</w:t>
            </w:r>
          </w:p>
        </w:tc>
        <w:tc>
          <w:tcPr>
            <w:tcW w:w="1944" w:type="dxa"/>
            <w:vAlign w:val="center"/>
          </w:tcPr>
          <w:p w:rsidR="004D6274" w:rsidRDefault="00585D9D">
            <w:pPr>
              <w:snapToGrid w:val="0"/>
              <w:spacing w:after="0" w:line="240" w:lineRule="auto"/>
              <w:rPr>
                <w:rFonts w:eastAsiaTheme="minorEastAsia"/>
              </w:rPr>
            </w:pPr>
            <w:r>
              <w:rPr>
                <w:rFonts w:eastAsiaTheme="minorEastAsia" w:hint="eastAsia"/>
              </w:rPr>
              <w:t>0</w:t>
            </w:r>
            <w:r>
              <w:rPr>
                <w:rFonts w:eastAsiaTheme="minorEastAsia"/>
              </w:rPr>
              <w:t xml:space="preserve">.169 </w:t>
            </w:r>
            <w:r>
              <w:rPr>
                <w:rFonts w:eastAsiaTheme="minorEastAsia"/>
                <w:color w:val="4472C4" w:themeColor="accent5"/>
              </w:rPr>
              <w:t>(0.75*)</w:t>
            </w:r>
          </w:p>
        </w:tc>
        <w:tc>
          <w:tcPr>
            <w:tcW w:w="1794" w:type="dxa"/>
            <w:vMerge/>
            <w:vAlign w:val="center"/>
          </w:tcPr>
          <w:p w:rsidR="004D6274" w:rsidRDefault="004D6274">
            <w:pPr>
              <w:snapToGrid w:val="0"/>
              <w:spacing w:after="0" w:line="240" w:lineRule="auto"/>
              <w:rPr>
                <w:rFonts w:eastAsiaTheme="minorEastAsia"/>
              </w:rPr>
            </w:pPr>
          </w:p>
        </w:tc>
      </w:tr>
    </w:tbl>
    <w:p w:rsidR="004D6274" w:rsidRDefault="004D6274">
      <w:pPr>
        <w:snapToGrid w:val="0"/>
        <w:rPr>
          <w:rFonts w:eastAsiaTheme="minorEastAsia"/>
        </w:rPr>
      </w:pPr>
    </w:p>
    <w:p w:rsidR="004D6274" w:rsidRDefault="00585D9D">
      <w:pPr>
        <w:snapToGrid w:val="0"/>
        <w:jc w:val="center"/>
        <w:rPr>
          <w:rFonts w:eastAsiaTheme="minorEastAsia"/>
        </w:rPr>
      </w:pPr>
      <w:r>
        <w:rPr>
          <w:noProof/>
        </w:rPr>
        <w:drawing>
          <wp:inline distT="0" distB="0" distL="0" distR="0">
            <wp:extent cx="4572000" cy="2743200"/>
            <wp:effectExtent l="4445" t="4445" r="1460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6274" w:rsidRDefault="004D6274">
      <w:pPr>
        <w:snapToGrid w:val="0"/>
        <w:rPr>
          <w:rFonts w:eastAsiaTheme="minorEastAsia"/>
        </w:rPr>
      </w:pPr>
    </w:p>
    <w:p w:rsidR="004D6274" w:rsidRDefault="00585D9D">
      <w:pPr>
        <w:snapToGrid w:val="0"/>
        <w:outlineLvl w:val="1"/>
        <w:rPr>
          <w:rFonts w:eastAsiaTheme="minorEastAsia"/>
          <w:b/>
          <w:sz w:val="21"/>
        </w:rPr>
      </w:pPr>
      <w:r>
        <w:rPr>
          <w:rFonts w:eastAsiaTheme="minorEastAsia"/>
          <w:b/>
          <w:sz w:val="21"/>
        </w:rPr>
        <w:t>Composite requirement</w:t>
      </w:r>
    </w:p>
    <w:p w:rsidR="004D6274" w:rsidRDefault="00585D9D">
      <w:pPr>
        <w:snapToGrid w:val="0"/>
        <w:spacing w:after="120" w:line="240" w:lineRule="auto"/>
        <w:jc w:val="both"/>
        <w:rPr>
          <w:rFonts w:eastAsia="宋体"/>
          <w:bCs/>
          <w:szCs w:val="24"/>
        </w:rPr>
      </w:pPr>
      <w:r>
        <w:rPr>
          <w:rFonts w:hint="eastAsia"/>
          <w:bCs/>
        </w:rPr>
        <w:t xml:space="preserve">For the value </w:t>
      </w:r>
      <w:r>
        <w:rPr>
          <w:bCs/>
        </w:rPr>
        <w:t>of composite requirement for immersive communication</w:t>
      </w:r>
      <w:r>
        <w:rPr>
          <w:rFonts w:hint="eastAsia"/>
          <w:bCs/>
        </w:rPr>
        <w:t>, we provide some candidate values shown as follows</w:t>
      </w:r>
      <w:r>
        <w:rPr>
          <w:bCs/>
        </w:rPr>
        <w:t>:</w:t>
      </w:r>
    </w:p>
    <w:p w:rsidR="004D6274" w:rsidRDefault="00585D9D">
      <w:pPr>
        <w:pStyle w:val="aff0"/>
        <w:numPr>
          <w:ilvl w:val="0"/>
          <w:numId w:val="23"/>
        </w:numPr>
        <w:snapToGrid w:val="0"/>
        <w:spacing w:after="120" w:line="240" w:lineRule="auto"/>
        <w:ind w:firstLineChars="0"/>
        <w:jc w:val="both"/>
        <w:rPr>
          <w:bCs/>
        </w:rPr>
      </w:pPr>
      <w:r>
        <w:rPr>
          <w:bCs/>
        </w:rPr>
        <w:t>For test environment of Dense Urban-IC, the DL capacity can be 70Gbits/s/km</w:t>
      </w:r>
      <w:r>
        <w:rPr>
          <w:bCs/>
          <w:vertAlign w:val="superscript"/>
        </w:rPr>
        <w:t>2</w:t>
      </w:r>
      <w:r>
        <w:rPr>
          <w:bCs/>
        </w:rPr>
        <w:t>.</w:t>
      </w:r>
    </w:p>
    <w:p w:rsidR="004D6274" w:rsidRDefault="00585D9D">
      <w:pPr>
        <w:pStyle w:val="aff0"/>
        <w:numPr>
          <w:ilvl w:val="0"/>
          <w:numId w:val="23"/>
        </w:numPr>
        <w:snapToGrid w:val="0"/>
        <w:spacing w:after="120" w:line="240" w:lineRule="auto"/>
        <w:ind w:firstLineChars="0"/>
        <w:jc w:val="both"/>
        <w:rPr>
          <w:bCs/>
        </w:rPr>
      </w:pPr>
      <w:r>
        <w:rPr>
          <w:rFonts w:hint="eastAsia"/>
          <w:bCs/>
        </w:rPr>
        <w:t>F</w:t>
      </w:r>
      <w:r>
        <w:rPr>
          <w:bCs/>
        </w:rPr>
        <w:t>or test environment of Urban Macro-IC, the DL capacity is 10G bits/s/km</w:t>
      </w:r>
      <w:r>
        <w:rPr>
          <w:bCs/>
          <w:vertAlign w:val="superscript"/>
        </w:rPr>
        <w:t>2</w:t>
      </w:r>
    </w:p>
    <w:p w:rsidR="004D6274" w:rsidRDefault="00585D9D">
      <w:pPr>
        <w:pStyle w:val="aff0"/>
        <w:numPr>
          <w:ilvl w:val="1"/>
          <w:numId w:val="23"/>
        </w:numPr>
        <w:snapToGrid w:val="0"/>
        <w:spacing w:after="120" w:line="240" w:lineRule="auto"/>
        <w:ind w:firstLineChars="0"/>
        <w:jc w:val="both"/>
        <w:rPr>
          <w:bCs/>
        </w:rPr>
      </w:pPr>
      <w:r>
        <w:rPr>
          <w:bCs/>
        </w:rPr>
        <w:t>Traffic model: Video: 45Mbps@60FPS, PER=99%, PDB = 10ms; Haptic: 10 sensors, fixed 100 Byte per sensor, PER = 99.9%, PDB=5ms, pareto distribution arrival</w:t>
      </w:r>
    </w:p>
    <w:p w:rsidR="004D6274" w:rsidRDefault="00585D9D">
      <w:pPr>
        <w:snapToGrid w:val="0"/>
        <w:jc w:val="both"/>
      </w:pPr>
      <w:r>
        <w:rPr>
          <w:rFonts w:hint="eastAsia"/>
        </w:rPr>
        <w:t xml:space="preserve">For DL </w:t>
      </w:r>
      <w:r>
        <w:t>composite requirement</w:t>
      </w:r>
      <w:r>
        <w:rPr>
          <w:rFonts w:hint="eastAsia"/>
        </w:rPr>
        <w:t xml:space="preserve"> in test environment U</w:t>
      </w:r>
      <w:r>
        <w:rPr>
          <w:rFonts w:eastAsia="宋体" w:hint="eastAsia"/>
        </w:rPr>
        <w:t>M</w:t>
      </w:r>
      <w:r>
        <w:rPr>
          <w:rFonts w:hint="eastAsia"/>
        </w:rPr>
        <w:t>a-IC, we provide the following statistics of transmitted XR packet sizes and service time for each XR packet, respectively.</w:t>
      </w:r>
    </w:p>
    <w:tbl>
      <w:tblPr>
        <w:tblStyle w:val="af7"/>
        <w:tblW w:w="0" w:type="auto"/>
        <w:tblLook w:val="04A0" w:firstRow="1" w:lastRow="0" w:firstColumn="1" w:lastColumn="0" w:noHBand="0" w:noVBand="1"/>
      </w:tblPr>
      <w:tblGrid>
        <w:gridCol w:w="4674"/>
        <w:gridCol w:w="4676"/>
      </w:tblGrid>
      <w:tr w:rsidR="004D6274">
        <w:tc>
          <w:tcPr>
            <w:tcW w:w="4927" w:type="dxa"/>
            <w:tcBorders>
              <w:top w:val="single" w:sz="4" w:space="0" w:color="auto"/>
              <w:left w:val="single" w:sz="4" w:space="0" w:color="auto"/>
              <w:bottom w:val="single" w:sz="4" w:space="0" w:color="auto"/>
              <w:right w:val="single" w:sz="4" w:space="0" w:color="auto"/>
            </w:tcBorders>
          </w:tcPr>
          <w:p w:rsidR="004D6274" w:rsidRDefault="00585D9D">
            <w:pPr>
              <w:snapToGrid w:val="0"/>
              <w:rPr>
                <w:rFonts w:ascii="CG Times" w:hAnsi="CG Times"/>
                <w:lang w:eastAsia="en-US"/>
              </w:rPr>
            </w:pPr>
            <w:r>
              <w:lastRenderedPageBreak/>
              <w:t xml:space="preserve"> </w:t>
            </w:r>
            <w:r>
              <w:rPr>
                <w:noProof/>
              </w:rPr>
              <w:drawing>
                <wp:inline distT="0" distB="0" distL="0" distR="0">
                  <wp:extent cx="2879725" cy="2159635"/>
                  <wp:effectExtent l="0" t="0" r="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79725" cy="2159635"/>
                          </a:xfrm>
                          <a:prstGeom prst="rect">
                            <a:avLst/>
                          </a:prstGeom>
                          <a:noFill/>
                          <a:ln>
                            <a:noFill/>
                          </a:ln>
                        </pic:spPr>
                      </pic:pic>
                    </a:graphicData>
                  </a:graphic>
                </wp:inline>
              </w:drawing>
            </w:r>
          </w:p>
        </w:tc>
        <w:tc>
          <w:tcPr>
            <w:tcW w:w="4928" w:type="dxa"/>
            <w:tcBorders>
              <w:top w:val="single" w:sz="4" w:space="0" w:color="auto"/>
              <w:left w:val="single" w:sz="4" w:space="0" w:color="auto"/>
              <w:bottom w:val="single" w:sz="4" w:space="0" w:color="auto"/>
              <w:right w:val="single" w:sz="4" w:space="0" w:color="auto"/>
            </w:tcBorders>
          </w:tcPr>
          <w:p w:rsidR="004D6274" w:rsidRDefault="00585D9D">
            <w:pPr>
              <w:snapToGrid w:val="0"/>
              <w:rPr>
                <w:rFonts w:ascii="CG Times" w:hAnsi="CG Times"/>
                <w:lang w:eastAsia="en-US"/>
              </w:rPr>
            </w:pPr>
            <w:r>
              <w:rPr>
                <w:noProof/>
              </w:rPr>
              <w:drawing>
                <wp:inline distT="0" distB="0" distL="0" distR="0">
                  <wp:extent cx="2880995" cy="2160270"/>
                  <wp:effectExtent l="0" t="0" r="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2880995" cy="2160270"/>
                          </a:xfrm>
                          <a:prstGeom prst="rect">
                            <a:avLst/>
                          </a:prstGeom>
                          <a:noFill/>
                          <a:ln>
                            <a:noFill/>
                          </a:ln>
                        </pic:spPr>
                      </pic:pic>
                    </a:graphicData>
                  </a:graphic>
                </wp:inline>
              </w:drawing>
            </w:r>
          </w:p>
        </w:tc>
      </w:tr>
      <w:tr w:rsidR="004D6274">
        <w:tc>
          <w:tcPr>
            <w:tcW w:w="4927" w:type="dxa"/>
            <w:tcBorders>
              <w:top w:val="single" w:sz="4" w:space="0" w:color="auto"/>
              <w:left w:val="single" w:sz="4" w:space="0" w:color="auto"/>
              <w:bottom w:val="single" w:sz="4" w:space="0" w:color="auto"/>
              <w:right w:val="single" w:sz="4" w:space="0" w:color="auto"/>
            </w:tcBorders>
          </w:tcPr>
          <w:p w:rsidR="004D6274" w:rsidRDefault="00585D9D">
            <w:pPr>
              <w:snapToGrid w:val="0"/>
              <w:jc w:val="center"/>
            </w:pPr>
            <w:r>
              <w:rPr>
                <w:rFonts w:hint="eastAsia"/>
              </w:rPr>
              <w:t>Figure a) transmitted XR packet sizes</w:t>
            </w:r>
          </w:p>
        </w:tc>
        <w:tc>
          <w:tcPr>
            <w:tcW w:w="4928" w:type="dxa"/>
            <w:tcBorders>
              <w:top w:val="single" w:sz="4" w:space="0" w:color="auto"/>
              <w:left w:val="single" w:sz="4" w:space="0" w:color="auto"/>
              <w:bottom w:val="single" w:sz="4" w:space="0" w:color="auto"/>
              <w:right w:val="single" w:sz="4" w:space="0" w:color="auto"/>
            </w:tcBorders>
          </w:tcPr>
          <w:p w:rsidR="004D6274" w:rsidRDefault="00585D9D">
            <w:pPr>
              <w:snapToGrid w:val="0"/>
              <w:jc w:val="center"/>
            </w:pPr>
            <w:r>
              <w:rPr>
                <w:rFonts w:hint="eastAsia"/>
              </w:rPr>
              <w:t>Figure b) service time for each packet</w:t>
            </w:r>
          </w:p>
        </w:tc>
      </w:tr>
    </w:tbl>
    <w:p w:rsidR="004D6274" w:rsidRDefault="00585D9D">
      <w:pPr>
        <w:snapToGrid w:val="0"/>
      </w:pPr>
      <w:r>
        <w:rPr>
          <w:rFonts w:hint="eastAsia"/>
        </w:rPr>
        <w:t>Th</w:t>
      </w:r>
      <w:r>
        <w:t>e candidate value of capacity in composite requirement can be calculated by:</w:t>
      </w:r>
    </w:p>
    <w:p w:rsidR="004D6274" w:rsidRDefault="00585D9D">
      <w:pPr>
        <w:snapToGrid w:val="0"/>
      </w:pPr>
      <w:r>
        <w:t>(Average transmitted XR packet size / average service time for each packet / A) * UE density</w:t>
      </w:r>
      <w:r>
        <w:rPr>
          <w:rFonts w:hint="eastAsia"/>
        </w:rPr>
        <w:t>,</w:t>
      </w:r>
      <w:r>
        <w:t xml:space="preserve"> </w:t>
      </w:r>
    </w:p>
    <w:p w:rsidR="004D6274" w:rsidRDefault="00585D9D">
      <w:pPr>
        <w:snapToGrid w:val="0"/>
      </w:pPr>
      <w:r>
        <w:t>where average transmitted XR packet size can be obtained in Figure a), average service time for each packet can be obtained in Figure b). UE density is average 5 UE per cell</w:t>
      </w:r>
    </w:p>
    <w:p w:rsidR="004D6274" w:rsidRDefault="004D6274">
      <w:pPr>
        <w:snapToGrid w:val="0"/>
        <w:rPr>
          <w:rFonts w:eastAsiaTheme="minorEastAsia"/>
        </w:rPr>
      </w:pPr>
    </w:p>
    <w:p w:rsidR="004D6274" w:rsidRDefault="00585D9D">
      <w:pPr>
        <w:snapToGrid w:val="0"/>
        <w:outlineLvl w:val="1"/>
        <w:rPr>
          <w:rFonts w:eastAsiaTheme="minorEastAsia"/>
          <w:b/>
          <w:sz w:val="21"/>
        </w:rPr>
      </w:pPr>
      <w:r>
        <w:rPr>
          <w:rFonts w:eastAsiaTheme="minorEastAsia"/>
          <w:b/>
          <w:sz w:val="21"/>
        </w:rPr>
        <w:t>Sensing</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4"/>
      </w:tblGrid>
      <w:tr w:rsidR="004D6274">
        <w:tc>
          <w:tcPr>
            <w:tcW w:w="4264" w:type="dxa"/>
          </w:tcPr>
          <w:p w:rsidR="004D6274" w:rsidRDefault="00585D9D">
            <w:pPr>
              <w:snapToGrid w:val="0"/>
              <w:spacing w:after="120" w:line="240" w:lineRule="auto"/>
              <w:jc w:val="center"/>
              <w:rPr>
                <w:rFonts w:eastAsia="宋体"/>
              </w:rPr>
            </w:pPr>
            <w:r>
              <w:rPr>
                <w:rFonts w:eastAsia="宋体"/>
              </w:rPr>
              <w:t>Sensing mode</w:t>
            </w:r>
          </w:p>
        </w:tc>
        <w:tc>
          <w:tcPr>
            <w:tcW w:w="4264" w:type="dxa"/>
          </w:tcPr>
          <w:p w:rsidR="004D6274" w:rsidRDefault="00585D9D">
            <w:pPr>
              <w:snapToGrid w:val="0"/>
              <w:spacing w:after="120" w:line="240" w:lineRule="auto"/>
              <w:jc w:val="center"/>
            </w:pPr>
            <w:r>
              <w:t>TRP monostatic</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rPr>
              <w:t>Carrier frequency</w:t>
            </w:r>
          </w:p>
        </w:tc>
        <w:tc>
          <w:tcPr>
            <w:tcW w:w="4264" w:type="dxa"/>
          </w:tcPr>
          <w:p w:rsidR="004D6274" w:rsidRDefault="00585D9D">
            <w:pPr>
              <w:snapToGrid w:val="0"/>
              <w:spacing w:after="120" w:line="240" w:lineRule="auto"/>
              <w:jc w:val="center"/>
            </w:pPr>
            <w:r>
              <w:rPr>
                <w:rFonts w:hint="eastAsia"/>
              </w:rPr>
              <w:t>6GHz</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b</w:t>
            </w:r>
            <w:r>
              <w:rPr>
                <w:rFonts w:eastAsiaTheme="minorEastAsia"/>
              </w:rPr>
              <w:t>andwidth</w:t>
            </w:r>
          </w:p>
        </w:tc>
        <w:tc>
          <w:tcPr>
            <w:tcW w:w="4264" w:type="dxa"/>
          </w:tcPr>
          <w:p w:rsidR="004D6274" w:rsidRDefault="00585D9D">
            <w:pPr>
              <w:snapToGrid w:val="0"/>
              <w:spacing w:after="120" w:line="240" w:lineRule="auto"/>
              <w:jc w:val="center"/>
            </w:pPr>
            <w:r>
              <w:rPr>
                <w:rFonts w:hint="eastAsia"/>
              </w:rPr>
              <w:t>100 MHz</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S</w:t>
            </w:r>
            <w:r>
              <w:rPr>
                <w:rFonts w:eastAsiaTheme="minorEastAsia"/>
              </w:rPr>
              <w:t>CS</w:t>
            </w:r>
          </w:p>
        </w:tc>
        <w:tc>
          <w:tcPr>
            <w:tcW w:w="4264" w:type="dxa"/>
          </w:tcPr>
          <w:p w:rsidR="004D6274" w:rsidRDefault="00585D9D">
            <w:pPr>
              <w:snapToGrid w:val="0"/>
              <w:spacing w:after="120" w:line="240" w:lineRule="auto"/>
              <w:jc w:val="center"/>
            </w:pPr>
            <w:r>
              <w:rPr>
                <w:rFonts w:hint="eastAsia"/>
              </w:rPr>
              <w:t>30kHz</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B</w:t>
            </w:r>
            <w:r>
              <w:rPr>
                <w:rFonts w:eastAsiaTheme="minorEastAsia"/>
              </w:rPr>
              <w:t>S Tx power</w:t>
            </w:r>
          </w:p>
        </w:tc>
        <w:tc>
          <w:tcPr>
            <w:tcW w:w="4264" w:type="dxa"/>
          </w:tcPr>
          <w:p w:rsidR="004D6274" w:rsidRDefault="00585D9D">
            <w:pPr>
              <w:snapToGrid w:val="0"/>
              <w:spacing w:after="120" w:line="240" w:lineRule="auto"/>
              <w:jc w:val="center"/>
            </w:pPr>
            <w:r>
              <w:rPr>
                <w:rFonts w:hint="eastAsia"/>
              </w:rPr>
              <w:t>49 dBm</w:t>
            </w:r>
          </w:p>
        </w:tc>
      </w:tr>
      <w:tr w:rsidR="004D6274">
        <w:trPr>
          <w:trHeight w:val="90"/>
        </w:trPr>
        <w:tc>
          <w:tcPr>
            <w:tcW w:w="4264" w:type="dxa"/>
          </w:tcPr>
          <w:p w:rsidR="004D6274" w:rsidRDefault="00585D9D">
            <w:pPr>
              <w:snapToGrid w:val="0"/>
              <w:spacing w:after="120" w:line="240" w:lineRule="auto"/>
              <w:jc w:val="center"/>
              <w:rPr>
                <w:rFonts w:eastAsiaTheme="minorEastAsia"/>
              </w:rPr>
            </w:pPr>
            <w:r>
              <w:rPr>
                <w:rFonts w:eastAsiaTheme="minorEastAsia"/>
              </w:rPr>
              <w:t>BS antenna configuration</w:t>
            </w:r>
          </w:p>
        </w:tc>
        <w:tc>
          <w:tcPr>
            <w:tcW w:w="4264" w:type="dxa"/>
          </w:tcPr>
          <w:p w:rsidR="004D6274" w:rsidRDefault="00585D9D">
            <w:pPr>
              <w:snapToGrid w:val="0"/>
              <w:spacing w:after="120" w:line="240" w:lineRule="auto"/>
              <w:jc w:val="center"/>
              <w:rPr>
                <w:rFonts w:eastAsia="MS UI Gothic"/>
                <w:lang w:eastAsia="ja-JP"/>
              </w:rPr>
            </w:pPr>
            <w:r>
              <w:rPr>
                <w:rFonts w:eastAsia="MS UI Gothic"/>
                <w:lang w:eastAsia="ja-JP"/>
              </w:rPr>
              <w:t xml:space="preserve"> (M,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 = (</w:t>
            </w:r>
            <w:r>
              <w:rPr>
                <w:rFonts w:hint="eastAsia"/>
              </w:rPr>
              <w:t>16</w:t>
            </w:r>
            <w:r>
              <w:rPr>
                <w:rFonts w:eastAsia="MS UI Gothic"/>
                <w:lang w:eastAsia="ja-JP"/>
              </w:rPr>
              <w:t xml:space="preserve">, </w:t>
            </w:r>
            <w:r>
              <w:rPr>
                <w:rFonts w:hint="eastAsia"/>
              </w:rPr>
              <w:t>16</w:t>
            </w:r>
            <w:r>
              <w:rPr>
                <w:rFonts w:eastAsia="MS UI Gothic"/>
                <w:lang w:eastAsia="ja-JP"/>
              </w:rPr>
              <w:t>, 2, 1, 1),</w:t>
            </w:r>
          </w:p>
          <w:p w:rsidR="004D6274" w:rsidRDefault="00585D9D">
            <w:pPr>
              <w:snapToGrid w:val="0"/>
              <w:spacing w:after="120" w:line="240" w:lineRule="auto"/>
              <w:jc w:val="center"/>
              <w:rPr>
                <w:rFonts w:eastAsia="MS UI Gothic"/>
                <w:lang w:eastAsia="ja-JP"/>
              </w:rPr>
            </w:pPr>
            <w:r>
              <w:rPr>
                <w:rFonts w:eastAsia="MS UI Gothic"/>
                <w:lang w:eastAsia="ja-JP"/>
              </w:rPr>
              <w:t xml:space="preserve"> d</w:t>
            </w:r>
            <w:r>
              <w:rPr>
                <w:rFonts w:eastAsia="MS UI Gothic"/>
                <w:vertAlign w:val="subscript"/>
                <w:lang w:eastAsia="ja-JP"/>
              </w:rPr>
              <w:t>H</w:t>
            </w:r>
            <w:r>
              <w:rPr>
                <w:rFonts w:eastAsia="MS UI Gothic"/>
                <w:lang w:eastAsia="ja-JP"/>
              </w:rPr>
              <w:t xml:space="preserve"> =</w:t>
            </w:r>
            <w:r>
              <w:rPr>
                <w:rFonts w:hint="eastAsia"/>
              </w:rPr>
              <w:t xml:space="preserve"> </w:t>
            </w:r>
            <w:r>
              <w:rPr>
                <w:rFonts w:eastAsia="MS UI Gothic"/>
                <w:lang w:eastAsia="ja-JP"/>
              </w:rPr>
              <w:t>0.5 λ</w:t>
            </w:r>
            <w:r>
              <w:rPr>
                <w:rFonts w:hint="eastAsia"/>
              </w:rPr>
              <w:t>，</w:t>
            </w:r>
            <w:r>
              <w:rPr>
                <w:rFonts w:eastAsia="MS UI Gothic"/>
                <w:lang w:eastAsia="ja-JP"/>
              </w:rPr>
              <w:t>d</w:t>
            </w:r>
            <w:r>
              <w:rPr>
                <w:rFonts w:eastAsia="MS UI Gothic"/>
                <w:vertAlign w:val="subscript"/>
                <w:lang w:eastAsia="ja-JP"/>
              </w:rPr>
              <w:t>V</w:t>
            </w:r>
            <w:r>
              <w:rPr>
                <w:rFonts w:eastAsia="MS UI Gothic"/>
                <w:lang w:eastAsia="ja-JP"/>
              </w:rPr>
              <w:t xml:space="preserve"> = 0.</w:t>
            </w:r>
            <w:r>
              <w:rPr>
                <w:rFonts w:hint="eastAsia"/>
              </w:rPr>
              <w:t xml:space="preserve">5 </w:t>
            </w:r>
            <w:r>
              <w:rPr>
                <w:rFonts w:eastAsia="MS UI Gothic"/>
                <w:lang w:eastAsia="ja-JP"/>
              </w:rPr>
              <w:t>λ</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B</w:t>
            </w:r>
            <w:r>
              <w:rPr>
                <w:rFonts w:eastAsiaTheme="minorEastAsia"/>
              </w:rPr>
              <w:t>S height</w:t>
            </w:r>
          </w:p>
        </w:tc>
        <w:tc>
          <w:tcPr>
            <w:tcW w:w="4264" w:type="dxa"/>
          </w:tcPr>
          <w:p w:rsidR="004D6274" w:rsidRDefault="00585D9D">
            <w:pPr>
              <w:snapToGrid w:val="0"/>
              <w:spacing w:after="120" w:line="240" w:lineRule="auto"/>
              <w:jc w:val="center"/>
            </w:pPr>
            <w:r>
              <w:rPr>
                <w:rFonts w:hint="eastAsia"/>
              </w:rPr>
              <w:t>35m</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B</w:t>
            </w:r>
            <w:r>
              <w:rPr>
                <w:rFonts w:eastAsiaTheme="minorEastAsia"/>
              </w:rPr>
              <w:t>S noise figure</w:t>
            </w:r>
          </w:p>
        </w:tc>
        <w:tc>
          <w:tcPr>
            <w:tcW w:w="4264" w:type="dxa"/>
          </w:tcPr>
          <w:p w:rsidR="004D6274" w:rsidRDefault="00585D9D">
            <w:pPr>
              <w:snapToGrid w:val="0"/>
              <w:spacing w:after="120" w:line="240" w:lineRule="auto"/>
              <w:jc w:val="center"/>
            </w:pPr>
            <w:r>
              <w:rPr>
                <w:rFonts w:hint="eastAsia"/>
              </w:rPr>
              <w:t>5 dBi</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T</w:t>
            </w:r>
            <w:r>
              <w:rPr>
                <w:rFonts w:eastAsiaTheme="minorEastAsia"/>
              </w:rPr>
              <w:t>hermal noise</w:t>
            </w:r>
          </w:p>
        </w:tc>
        <w:tc>
          <w:tcPr>
            <w:tcW w:w="4264" w:type="dxa"/>
          </w:tcPr>
          <w:p w:rsidR="004D6274" w:rsidRDefault="00585D9D">
            <w:pPr>
              <w:snapToGrid w:val="0"/>
              <w:spacing w:after="120" w:line="240" w:lineRule="auto"/>
              <w:jc w:val="center"/>
            </w:pPr>
            <w:r>
              <w:rPr>
                <w:rFonts w:hint="eastAsia"/>
              </w:rPr>
              <w:t>-174dBm/Hz</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U</w:t>
            </w:r>
            <w:r>
              <w:rPr>
                <w:rFonts w:eastAsiaTheme="minorEastAsia"/>
              </w:rPr>
              <w:t>AV height (sensing target)</w:t>
            </w:r>
          </w:p>
        </w:tc>
        <w:tc>
          <w:tcPr>
            <w:tcW w:w="4264" w:type="dxa"/>
          </w:tcPr>
          <w:p w:rsidR="004D6274" w:rsidRDefault="00585D9D">
            <w:pPr>
              <w:snapToGrid w:val="0"/>
              <w:spacing w:after="120" w:line="240" w:lineRule="auto"/>
              <w:jc w:val="center"/>
            </w:pPr>
            <w:r>
              <w:rPr>
                <w:rFonts w:hint="eastAsia"/>
              </w:rPr>
              <w:t>200m</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U</w:t>
            </w:r>
            <w:r>
              <w:rPr>
                <w:rFonts w:eastAsiaTheme="minorEastAsia"/>
              </w:rPr>
              <w:t>AV velocity</w:t>
            </w:r>
          </w:p>
        </w:tc>
        <w:tc>
          <w:tcPr>
            <w:tcW w:w="4264" w:type="dxa"/>
          </w:tcPr>
          <w:p w:rsidR="004D6274" w:rsidRDefault="00585D9D">
            <w:pPr>
              <w:snapToGrid w:val="0"/>
              <w:spacing w:after="120" w:line="240" w:lineRule="auto"/>
              <w:jc w:val="center"/>
            </w:pPr>
            <w:r>
              <w:rPr>
                <w:rFonts w:hint="eastAsia"/>
              </w:rPr>
              <w:t>0-60km/h</w:t>
            </w:r>
            <w:r>
              <w:rPr>
                <w:rFonts w:eastAsiaTheme="minorEastAsia" w:hint="eastAsia"/>
              </w:rPr>
              <w:t xml:space="preserve"> </w:t>
            </w:r>
            <w:r>
              <w:rPr>
                <w:rFonts w:eastAsiaTheme="minorEastAsia"/>
              </w:rPr>
              <w:t>uniform in horizontal</w:t>
            </w:r>
            <w:r>
              <w:t xml:space="preserve"> </w:t>
            </w:r>
          </w:p>
        </w:tc>
      </w:tr>
      <w:tr w:rsidR="004D6274">
        <w:tc>
          <w:tcPr>
            <w:tcW w:w="4264" w:type="dxa"/>
          </w:tcPr>
          <w:p w:rsidR="004D6274" w:rsidRDefault="00585D9D">
            <w:pPr>
              <w:snapToGrid w:val="0"/>
              <w:spacing w:after="120" w:line="240" w:lineRule="auto"/>
              <w:jc w:val="center"/>
              <w:rPr>
                <w:rFonts w:eastAsiaTheme="minorEastAsia"/>
              </w:rPr>
            </w:pPr>
            <w:r>
              <w:rPr>
                <w:rFonts w:eastAsiaTheme="minorEastAsia" w:hint="eastAsia"/>
              </w:rPr>
              <w:t>U</w:t>
            </w:r>
            <w:r>
              <w:rPr>
                <w:rFonts w:eastAsiaTheme="minorEastAsia"/>
              </w:rPr>
              <w:t>AV distribution</w:t>
            </w:r>
          </w:p>
        </w:tc>
        <w:tc>
          <w:tcPr>
            <w:tcW w:w="4264" w:type="dxa"/>
          </w:tcPr>
          <w:p w:rsidR="004D6274" w:rsidRDefault="00585D9D">
            <w:pPr>
              <w:snapToGrid w:val="0"/>
              <w:spacing w:after="120" w:line="240" w:lineRule="auto"/>
              <w:jc w:val="center"/>
              <w:rPr>
                <w:rFonts w:eastAsiaTheme="minorEastAsia"/>
              </w:rPr>
            </w:pPr>
            <w:r>
              <w:rPr>
                <w:rFonts w:eastAsiaTheme="minorEastAsia" w:hint="eastAsia"/>
              </w:rPr>
              <w:t>5</w:t>
            </w:r>
            <w:r>
              <w:rPr>
                <w:rFonts w:eastAsiaTheme="minorEastAsia"/>
              </w:rPr>
              <w:t xml:space="preserve"> targets in center sector</w:t>
            </w:r>
          </w:p>
        </w:tc>
      </w:tr>
      <w:tr w:rsidR="004D6274">
        <w:tc>
          <w:tcPr>
            <w:tcW w:w="4264" w:type="dxa"/>
          </w:tcPr>
          <w:p w:rsidR="004D6274" w:rsidRDefault="00585D9D">
            <w:pPr>
              <w:snapToGrid w:val="0"/>
              <w:spacing w:after="120" w:line="240" w:lineRule="auto"/>
              <w:jc w:val="center"/>
              <w:rPr>
                <w:rFonts w:eastAsiaTheme="minorEastAsia"/>
              </w:rPr>
            </w:pPr>
            <w:r>
              <w:t>Number of Drops</w:t>
            </w:r>
          </w:p>
        </w:tc>
        <w:tc>
          <w:tcPr>
            <w:tcW w:w="4264" w:type="dxa"/>
          </w:tcPr>
          <w:p w:rsidR="004D6274" w:rsidRDefault="00585D9D">
            <w:pPr>
              <w:snapToGrid w:val="0"/>
              <w:spacing w:after="120" w:line="240" w:lineRule="auto"/>
              <w:jc w:val="center"/>
            </w:pPr>
            <w:r>
              <w:rPr>
                <w:rFonts w:hint="eastAsia"/>
              </w:rPr>
              <w:t>200</w:t>
            </w:r>
          </w:p>
        </w:tc>
      </w:tr>
    </w:tbl>
    <w:p w:rsidR="004D6274" w:rsidRDefault="004D6274">
      <w:pPr>
        <w:snapToGrid w:val="0"/>
        <w:rPr>
          <w:rFonts w:eastAsiaTheme="minorEastAsia"/>
        </w:rPr>
      </w:pPr>
    </w:p>
    <w:p w:rsidR="004D6274" w:rsidRDefault="00585D9D">
      <w:pPr>
        <w:snapToGrid w:val="0"/>
        <w:jc w:val="center"/>
      </w:pPr>
      <w:r>
        <w:rPr>
          <w:rFonts w:hint="eastAsia"/>
        </w:rPr>
        <w:lastRenderedPageBreak/>
        <w:t xml:space="preserve"> </w:t>
      </w:r>
      <w:r>
        <w:rPr>
          <w:noProof/>
        </w:rPr>
        <w:drawing>
          <wp:inline distT="0" distB="0" distL="114300" distR="114300">
            <wp:extent cx="2520315" cy="1890395"/>
            <wp:effectExtent l="0" t="0" r="13335" b="14605"/>
            <wp:docPr id="33" name="图片 33" descr="VelErro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VelError_CDF"/>
                    <pic:cNvPicPr>
                      <a:picLocks noChangeAspect="1"/>
                    </pic:cNvPicPr>
                  </pic:nvPicPr>
                  <pic:blipFill>
                    <a:blip r:embed="rId11"/>
                    <a:stretch>
                      <a:fillRect/>
                    </a:stretch>
                  </pic:blipFill>
                  <pic:spPr>
                    <a:xfrm>
                      <a:off x="0" y="0"/>
                      <a:ext cx="2520315" cy="1890395"/>
                    </a:xfrm>
                    <a:prstGeom prst="rect">
                      <a:avLst/>
                    </a:prstGeom>
                  </pic:spPr>
                </pic:pic>
              </a:graphicData>
            </a:graphic>
          </wp:inline>
        </w:drawing>
      </w:r>
    </w:p>
    <w:p w:rsidR="004D6274" w:rsidRDefault="00585D9D">
      <w:pPr>
        <w:snapToGrid w:val="0"/>
        <w:ind w:firstLineChars="700" w:firstLine="1400"/>
      </w:pPr>
      <w:r>
        <w:rPr>
          <w:rFonts w:hint="eastAsia"/>
        </w:rPr>
        <w:t xml:space="preserve">                                (</w:t>
      </w:r>
      <w:r>
        <w:t>a</w:t>
      </w:r>
      <w:r>
        <w:rPr>
          <w:rFonts w:hint="eastAsia"/>
        </w:rPr>
        <w:t>) Velocity</w:t>
      </w:r>
    </w:p>
    <w:p w:rsidR="004D6274" w:rsidRDefault="00585D9D">
      <w:pPr>
        <w:snapToGrid w:val="0"/>
        <w:jc w:val="center"/>
      </w:pPr>
      <w:r>
        <w:rPr>
          <w:noProof/>
        </w:rPr>
        <w:drawing>
          <wp:inline distT="0" distB="0" distL="114300" distR="114300">
            <wp:extent cx="2520315" cy="1890395"/>
            <wp:effectExtent l="0" t="0" r="13335" b="14605"/>
            <wp:docPr id="38" name="图片 38" descr="PosError_H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osError_H_Cluster_CDF"/>
                    <pic:cNvPicPr>
                      <a:picLocks noChangeAspect="1"/>
                    </pic:cNvPicPr>
                  </pic:nvPicPr>
                  <pic:blipFill>
                    <a:blip r:embed="rId12"/>
                    <a:stretch>
                      <a:fillRect/>
                    </a:stretch>
                  </pic:blipFill>
                  <pic:spPr>
                    <a:xfrm>
                      <a:off x="0" y="0"/>
                      <a:ext cx="2520315" cy="1890395"/>
                    </a:xfrm>
                    <a:prstGeom prst="rect">
                      <a:avLst/>
                    </a:prstGeom>
                  </pic:spPr>
                </pic:pic>
              </a:graphicData>
            </a:graphic>
          </wp:inline>
        </w:drawing>
      </w:r>
      <w:r>
        <w:rPr>
          <w:rFonts w:hint="eastAsia"/>
        </w:rPr>
        <w:t xml:space="preserve"> </w:t>
      </w:r>
      <w:r>
        <w:rPr>
          <w:noProof/>
        </w:rPr>
        <w:drawing>
          <wp:inline distT="0" distB="0" distL="114300" distR="114300">
            <wp:extent cx="2520315" cy="1890395"/>
            <wp:effectExtent l="0" t="0" r="13335" b="14605"/>
            <wp:docPr id="39" name="图片 39" descr="PosError_V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PosError_V_Cluster_CDF"/>
                    <pic:cNvPicPr>
                      <a:picLocks noChangeAspect="1"/>
                    </pic:cNvPicPr>
                  </pic:nvPicPr>
                  <pic:blipFill>
                    <a:blip r:embed="rId13"/>
                    <a:stretch>
                      <a:fillRect/>
                    </a:stretch>
                  </pic:blipFill>
                  <pic:spPr>
                    <a:xfrm>
                      <a:off x="0" y="0"/>
                      <a:ext cx="2520315" cy="1890395"/>
                    </a:xfrm>
                    <a:prstGeom prst="rect">
                      <a:avLst/>
                    </a:prstGeom>
                  </pic:spPr>
                </pic:pic>
              </a:graphicData>
            </a:graphic>
          </wp:inline>
        </w:drawing>
      </w:r>
    </w:p>
    <w:p w:rsidR="004D6274" w:rsidRDefault="00585D9D">
      <w:pPr>
        <w:snapToGrid w:val="0"/>
        <w:ind w:firstLineChars="600" w:firstLine="1200"/>
      </w:pPr>
      <w:r>
        <w:rPr>
          <w:rFonts w:hint="eastAsia"/>
        </w:rPr>
        <w:t>(</w:t>
      </w:r>
      <w:r>
        <w:t>b</w:t>
      </w:r>
      <w:r>
        <w:rPr>
          <w:rFonts w:hint="eastAsia"/>
        </w:rPr>
        <w:t>) Pos_H_Cluster                          (</w:t>
      </w:r>
      <w:r>
        <w:t>c</w:t>
      </w:r>
      <w:r>
        <w:rPr>
          <w:rFonts w:hint="eastAsia"/>
        </w:rPr>
        <w:t>) Pos_V_Cluster</w:t>
      </w:r>
    </w:p>
    <w:p w:rsidR="004D6274" w:rsidRDefault="00585D9D">
      <w:pPr>
        <w:snapToGrid w:val="0"/>
        <w:jc w:val="center"/>
      </w:pPr>
      <w:r>
        <w:rPr>
          <w:rFonts w:eastAsiaTheme="minorEastAsia" w:hint="eastAsia"/>
        </w:rPr>
        <w:t>F</w:t>
      </w:r>
      <w:r>
        <w:rPr>
          <w:rFonts w:eastAsiaTheme="minorEastAsia"/>
        </w:rPr>
        <w:t>igure: TRP monostatic (coordinated sensing) sensing CDF with (M,N,P,Mg,Ng;Mp,Np)=(16,16,1,1,1,1,1)</w:t>
      </w:r>
    </w:p>
    <w:p w:rsidR="004D6274" w:rsidRDefault="00585D9D">
      <w:pPr>
        <w:snapToGrid w:val="0"/>
        <w:jc w:val="center"/>
      </w:pPr>
      <w:r>
        <w:rPr>
          <w:rFonts w:eastAsiaTheme="minorEastAsia" w:hint="eastAsia"/>
        </w:rPr>
        <w:t>T</w:t>
      </w:r>
      <w:r>
        <w:rPr>
          <w:rFonts w:eastAsiaTheme="minorEastAsia"/>
        </w:rPr>
        <w:t>able: TRP monostatic (coordinated sensing) sensing results</w:t>
      </w:r>
    </w:p>
    <w:tbl>
      <w:tblPr>
        <w:tblStyle w:val="af7"/>
        <w:tblW w:w="4392" w:type="dxa"/>
        <w:jc w:val="center"/>
        <w:tblLayout w:type="fixed"/>
        <w:tblLook w:val="04A0" w:firstRow="1" w:lastRow="0" w:firstColumn="1" w:lastColumn="0" w:noHBand="0" w:noVBand="1"/>
      </w:tblPr>
      <w:tblGrid>
        <w:gridCol w:w="1093"/>
        <w:gridCol w:w="1053"/>
        <w:gridCol w:w="1123"/>
        <w:gridCol w:w="1123"/>
      </w:tblGrid>
      <w:tr w:rsidR="004D6274">
        <w:trPr>
          <w:jc w:val="center"/>
        </w:trPr>
        <w:tc>
          <w:tcPr>
            <w:tcW w:w="1093" w:type="dxa"/>
            <w:vAlign w:val="center"/>
          </w:tcPr>
          <w:p w:rsidR="004D6274" w:rsidRDefault="00585D9D">
            <w:pPr>
              <w:snapToGrid w:val="0"/>
              <w:jc w:val="center"/>
              <w:rPr>
                <w:sz w:val="18"/>
                <w:szCs w:val="18"/>
              </w:rPr>
            </w:pPr>
            <w:r>
              <w:rPr>
                <w:rFonts w:eastAsiaTheme="minorEastAsia" w:hint="eastAsia"/>
                <w:sz w:val="18"/>
                <w:szCs w:val="18"/>
              </w:rPr>
              <w:t>H</w:t>
            </w:r>
            <w:r>
              <w:rPr>
                <w:rFonts w:eastAsiaTheme="minorEastAsia"/>
                <w:sz w:val="18"/>
                <w:szCs w:val="18"/>
              </w:rPr>
              <w:t>orizontal localization accuracy</w:t>
            </w:r>
          </w:p>
        </w:tc>
        <w:tc>
          <w:tcPr>
            <w:tcW w:w="1053" w:type="dxa"/>
            <w:vAlign w:val="center"/>
          </w:tcPr>
          <w:p w:rsidR="004D6274" w:rsidRDefault="00585D9D">
            <w:pPr>
              <w:snapToGrid w:val="0"/>
              <w:jc w:val="center"/>
              <w:rPr>
                <w:sz w:val="18"/>
                <w:szCs w:val="18"/>
              </w:rPr>
            </w:pPr>
            <w:r>
              <w:rPr>
                <w:rFonts w:eastAsiaTheme="minorEastAsia"/>
                <w:sz w:val="18"/>
                <w:szCs w:val="18"/>
              </w:rPr>
              <w:t>Vertical localization accuracy</w:t>
            </w:r>
          </w:p>
        </w:tc>
        <w:tc>
          <w:tcPr>
            <w:tcW w:w="1123" w:type="dxa"/>
            <w:vAlign w:val="center"/>
          </w:tcPr>
          <w:p w:rsidR="004D6274" w:rsidRDefault="00585D9D">
            <w:pPr>
              <w:snapToGrid w:val="0"/>
              <w:jc w:val="center"/>
              <w:rPr>
                <w:sz w:val="18"/>
                <w:szCs w:val="18"/>
              </w:rPr>
            </w:pPr>
            <w:r>
              <w:rPr>
                <w:rFonts w:eastAsiaTheme="minorEastAsia"/>
                <w:sz w:val="18"/>
                <w:szCs w:val="18"/>
              </w:rPr>
              <w:t>Velocity accuracy</w:t>
            </w:r>
          </w:p>
        </w:tc>
        <w:tc>
          <w:tcPr>
            <w:tcW w:w="1123" w:type="dxa"/>
            <w:vAlign w:val="center"/>
          </w:tcPr>
          <w:p w:rsidR="004D6274" w:rsidRDefault="00585D9D">
            <w:pPr>
              <w:snapToGrid w:val="0"/>
              <w:jc w:val="center"/>
              <w:rPr>
                <w:rFonts w:eastAsiaTheme="minorEastAsia"/>
                <w:sz w:val="18"/>
                <w:szCs w:val="18"/>
              </w:rPr>
            </w:pPr>
            <w:r>
              <w:rPr>
                <w:rFonts w:eastAsiaTheme="minorEastAsia" w:hint="eastAsia"/>
                <w:sz w:val="18"/>
                <w:szCs w:val="18"/>
              </w:rPr>
              <w:t>D</w:t>
            </w:r>
            <w:r>
              <w:rPr>
                <w:rFonts w:eastAsiaTheme="minorEastAsia"/>
                <w:sz w:val="18"/>
                <w:szCs w:val="18"/>
              </w:rPr>
              <w:t>etection probability</w:t>
            </w:r>
          </w:p>
        </w:tc>
      </w:tr>
      <w:tr w:rsidR="004D6274">
        <w:trPr>
          <w:jc w:val="center"/>
        </w:trPr>
        <w:tc>
          <w:tcPr>
            <w:tcW w:w="1093" w:type="dxa"/>
            <w:vAlign w:val="center"/>
          </w:tcPr>
          <w:p w:rsidR="004D6274" w:rsidRDefault="00585D9D">
            <w:pPr>
              <w:snapToGrid w:val="0"/>
              <w:jc w:val="center"/>
              <w:rPr>
                <w:sz w:val="18"/>
                <w:szCs w:val="18"/>
              </w:rPr>
            </w:pPr>
            <w:r>
              <w:rPr>
                <w:rFonts w:hint="eastAsia"/>
                <w:sz w:val="18"/>
                <w:szCs w:val="18"/>
              </w:rPr>
              <w:t>0.850</w:t>
            </w:r>
          </w:p>
        </w:tc>
        <w:tc>
          <w:tcPr>
            <w:tcW w:w="1053" w:type="dxa"/>
            <w:vAlign w:val="center"/>
          </w:tcPr>
          <w:p w:rsidR="004D6274" w:rsidRDefault="00585D9D">
            <w:pPr>
              <w:snapToGrid w:val="0"/>
              <w:jc w:val="center"/>
              <w:rPr>
                <w:sz w:val="18"/>
                <w:szCs w:val="18"/>
              </w:rPr>
            </w:pPr>
            <w:r>
              <w:rPr>
                <w:rFonts w:hint="eastAsia"/>
                <w:sz w:val="18"/>
                <w:szCs w:val="18"/>
              </w:rPr>
              <w:t>0.565</w:t>
            </w:r>
          </w:p>
        </w:tc>
        <w:tc>
          <w:tcPr>
            <w:tcW w:w="1123" w:type="dxa"/>
            <w:vAlign w:val="center"/>
          </w:tcPr>
          <w:p w:rsidR="004D6274" w:rsidRDefault="00585D9D">
            <w:pPr>
              <w:snapToGrid w:val="0"/>
              <w:jc w:val="center"/>
              <w:rPr>
                <w:sz w:val="18"/>
                <w:szCs w:val="18"/>
              </w:rPr>
            </w:pPr>
            <w:r>
              <w:rPr>
                <w:rFonts w:hint="eastAsia"/>
                <w:sz w:val="18"/>
                <w:szCs w:val="18"/>
              </w:rPr>
              <w:t>0.332m/s</w:t>
            </w:r>
          </w:p>
        </w:tc>
        <w:tc>
          <w:tcPr>
            <w:tcW w:w="1123" w:type="dxa"/>
            <w:vAlign w:val="center"/>
          </w:tcPr>
          <w:p w:rsidR="004D6274" w:rsidRDefault="00585D9D">
            <w:pPr>
              <w:snapToGrid w:val="0"/>
              <w:jc w:val="center"/>
              <w:rPr>
                <w:sz w:val="18"/>
                <w:szCs w:val="18"/>
              </w:rPr>
            </w:pPr>
            <w:r>
              <w:rPr>
                <w:rFonts w:hint="eastAsia"/>
                <w:sz w:val="18"/>
                <w:szCs w:val="18"/>
              </w:rPr>
              <w:t>98.0%</w:t>
            </w:r>
          </w:p>
        </w:tc>
      </w:tr>
    </w:tbl>
    <w:p w:rsidR="004D6274" w:rsidRDefault="004D6274">
      <w:pPr>
        <w:snapToGrid w:val="0"/>
        <w:rPr>
          <w:rFonts w:eastAsiaTheme="minorEastAsia"/>
        </w:rPr>
      </w:pPr>
    </w:p>
    <w:p w:rsidR="004D6274" w:rsidRDefault="004D6274">
      <w:pPr>
        <w:snapToGrid w:val="0"/>
        <w:rPr>
          <w:rFonts w:eastAsiaTheme="minorEastAsia"/>
        </w:rPr>
      </w:pPr>
    </w:p>
    <w:p w:rsidR="004D6274" w:rsidRDefault="004D6274">
      <w:pPr>
        <w:snapToGrid w:val="0"/>
        <w:rPr>
          <w:rFonts w:eastAsiaTheme="minorEastAsia"/>
        </w:rPr>
      </w:pPr>
    </w:p>
    <w:sectPr w:rsidR="004D627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54B" w:rsidRDefault="00E4454B">
      <w:pPr>
        <w:spacing w:line="240" w:lineRule="auto"/>
      </w:pPr>
      <w:r>
        <w:separator/>
      </w:r>
    </w:p>
  </w:endnote>
  <w:endnote w:type="continuationSeparator" w:id="0">
    <w:p w:rsidR="00E4454B" w:rsidRDefault="00E445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altName w:val="Times New Roman"/>
    <w:charset w:val="00"/>
    <w:family w:val="roman"/>
    <w:pitch w:val="default"/>
    <w:sig w:usb0="00000000" w:usb1="00000000" w:usb2="00000000" w:usb3="00000000" w:csb0="00000093"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54B" w:rsidRDefault="00E4454B">
      <w:pPr>
        <w:spacing w:after="0"/>
      </w:pPr>
      <w:r>
        <w:separator/>
      </w:r>
    </w:p>
  </w:footnote>
  <w:footnote w:type="continuationSeparator" w:id="0">
    <w:p w:rsidR="00E4454B" w:rsidRDefault="00E445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D17D08"/>
    <w:multiLevelType w:val="hybridMultilevel"/>
    <w:tmpl w:val="D4EA8DE2"/>
    <w:lvl w:ilvl="0" w:tplc="8D8CA9E4">
      <w:start w:val="1"/>
      <w:numFmt w:val="bullet"/>
      <w:lvlText w:val="-"/>
      <w:lvlJc w:val="left"/>
      <w:pPr>
        <w:tabs>
          <w:tab w:val="num" w:pos="720"/>
        </w:tabs>
        <w:ind w:left="720" w:hanging="360"/>
      </w:pPr>
      <w:rPr>
        <w:rFonts w:ascii="Arial" w:hAnsi="Arial" w:hint="default"/>
      </w:rPr>
    </w:lvl>
    <w:lvl w:ilvl="1" w:tplc="25FE0E3A" w:tentative="1">
      <w:start w:val="1"/>
      <w:numFmt w:val="bullet"/>
      <w:lvlText w:val="-"/>
      <w:lvlJc w:val="left"/>
      <w:pPr>
        <w:tabs>
          <w:tab w:val="num" w:pos="1440"/>
        </w:tabs>
        <w:ind w:left="1440" w:hanging="360"/>
      </w:pPr>
      <w:rPr>
        <w:rFonts w:ascii="Arial" w:hAnsi="Arial" w:hint="default"/>
      </w:rPr>
    </w:lvl>
    <w:lvl w:ilvl="2" w:tplc="45B8F418" w:tentative="1">
      <w:start w:val="1"/>
      <w:numFmt w:val="bullet"/>
      <w:lvlText w:val="-"/>
      <w:lvlJc w:val="left"/>
      <w:pPr>
        <w:tabs>
          <w:tab w:val="num" w:pos="2160"/>
        </w:tabs>
        <w:ind w:left="2160" w:hanging="360"/>
      </w:pPr>
      <w:rPr>
        <w:rFonts w:ascii="Arial" w:hAnsi="Arial" w:hint="default"/>
      </w:rPr>
    </w:lvl>
    <w:lvl w:ilvl="3" w:tplc="D7160C68">
      <w:start w:val="1"/>
      <w:numFmt w:val="bullet"/>
      <w:lvlText w:val="-"/>
      <w:lvlJc w:val="left"/>
      <w:pPr>
        <w:tabs>
          <w:tab w:val="num" w:pos="2880"/>
        </w:tabs>
        <w:ind w:left="2880" w:hanging="360"/>
      </w:pPr>
      <w:rPr>
        <w:rFonts w:ascii="Arial" w:hAnsi="Arial" w:hint="default"/>
      </w:rPr>
    </w:lvl>
    <w:lvl w:ilvl="4" w:tplc="3FB44036">
      <w:numFmt w:val="bullet"/>
      <w:lvlText w:val="-"/>
      <w:lvlJc w:val="left"/>
      <w:pPr>
        <w:tabs>
          <w:tab w:val="num" w:pos="3600"/>
        </w:tabs>
        <w:ind w:left="3600" w:hanging="360"/>
      </w:pPr>
      <w:rPr>
        <w:rFonts w:ascii="Arial" w:hAnsi="Arial" w:hint="default"/>
      </w:rPr>
    </w:lvl>
    <w:lvl w:ilvl="5" w:tplc="DC52B462" w:tentative="1">
      <w:start w:val="1"/>
      <w:numFmt w:val="bullet"/>
      <w:lvlText w:val="-"/>
      <w:lvlJc w:val="left"/>
      <w:pPr>
        <w:tabs>
          <w:tab w:val="num" w:pos="4320"/>
        </w:tabs>
        <w:ind w:left="4320" w:hanging="360"/>
      </w:pPr>
      <w:rPr>
        <w:rFonts w:ascii="Arial" w:hAnsi="Arial" w:hint="default"/>
      </w:rPr>
    </w:lvl>
    <w:lvl w:ilvl="6" w:tplc="BC405E6E" w:tentative="1">
      <w:start w:val="1"/>
      <w:numFmt w:val="bullet"/>
      <w:lvlText w:val="-"/>
      <w:lvlJc w:val="left"/>
      <w:pPr>
        <w:tabs>
          <w:tab w:val="num" w:pos="5040"/>
        </w:tabs>
        <w:ind w:left="5040" w:hanging="360"/>
      </w:pPr>
      <w:rPr>
        <w:rFonts w:ascii="Arial" w:hAnsi="Arial" w:hint="default"/>
      </w:rPr>
    </w:lvl>
    <w:lvl w:ilvl="7" w:tplc="25F8098E" w:tentative="1">
      <w:start w:val="1"/>
      <w:numFmt w:val="bullet"/>
      <w:lvlText w:val="-"/>
      <w:lvlJc w:val="left"/>
      <w:pPr>
        <w:tabs>
          <w:tab w:val="num" w:pos="5760"/>
        </w:tabs>
        <w:ind w:left="5760" w:hanging="360"/>
      </w:pPr>
      <w:rPr>
        <w:rFonts w:ascii="Arial" w:hAnsi="Arial" w:hint="default"/>
      </w:rPr>
    </w:lvl>
    <w:lvl w:ilvl="8" w:tplc="0D1413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9C19C9"/>
    <w:multiLevelType w:val="multilevel"/>
    <w:tmpl w:val="199C19C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C341FA5"/>
    <w:multiLevelType w:val="multilevel"/>
    <w:tmpl w:val="1C341F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F692D13"/>
    <w:multiLevelType w:val="hybridMultilevel"/>
    <w:tmpl w:val="38069EAE"/>
    <w:lvl w:ilvl="0" w:tplc="9D69A75F">
      <w:start w:val="1"/>
      <w:numFmt w:val="bullet"/>
      <w:lvlText w:val="−"/>
      <w:lvlJc w:val="left"/>
      <w:pPr>
        <w:ind w:left="720" w:hanging="360"/>
      </w:pPr>
      <w:rPr>
        <w:rFonts w:ascii="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6802539"/>
    <w:multiLevelType w:val="multilevel"/>
    <w:tmpl w:val="2680253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C335EB5"/>
    <w:multiLevelType w:val="hybridMultilevel"/>
    <w:tmpl w:val="29B67F88"/>
    <w:lvl w:ilvl="0" w:tplc="84AC64D6">
      <w:start w:val="1"/>
      <w:numFmt w:val="bullet"/>
      <w:lvlText w:val="•"/>
      <w:lvlJc w:val="left"/>
      <w:pPr>
        <w:ind w:left="360" w:hanging="360"/>
      </w:pPr>
      <w:rPr>
        <w:rFonts w:ascii="Arial" w:hAnsi="Aria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34EE5658"/>
    <w:multiLevelType w:val="multilevel"/>
    <w:tmpl w:val="34EE56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A32880"/>
    <w:multiLevelType w:val="multilevel"/>
    <w:tmpl w:val="42A32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1CF2F4B"/>
    <w:multiLevelType w:val="multilevel"/>
    <w:tmpl w:val="51CF2F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BD42D97"/>
    <w:multiLevelType w:val="multilevel"/>
    <w:tmpl w:val="5BD42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E872652"/>
    <w:multiLevelType w:val="multilevel"/>
    <w:tmpl w:val="70806CC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F154CB"/>
    <w:multiLevelType w:val="singleLevel"/>
    <w:tmpl w:val="64F154CB"/>
    <w:lvl w:ilvl="0">
      <w:start w:val="1"/>
      <w:numFmt w:val="bullet"/>
      <w:lvlText w:val="∙"/>
      <w:lvlJc w:val="left"/>
      <w:pPr>
        <w:ind w:left="420" w:hanging="420"/>
      </w:pPr>
      <w:rPr>
        <w:rFonts w:ascii="Arial" w:hAnsi="Arial" w:cs="Arial" w:hint="default"/>
      </w:rPr>
    </w:lvl>
  </w:abstractNum>
  <w:abstractNum w:abstractNumId="2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779B7F"/>
    <w:multiLevelType w:val="singleLevel"/>
    <w:tmpl w:val="6E779B7F"/>
    <w:lvl w:ilvl="0">
      <w:start w:val="1"/>
      <w:numFmt w:val="bullet"/>
      <w:lvlText w:val="▪"/>
      <w:lvlJc w:val="left"/>
      <w:pPr>
        <w:ind w:left="420" w:hanging="420"/>
      </w:pPr>
      <w:rPr>
        <w:rFonts w:ascii="Arial" w:hAnsi="Arial" w:cs="Arial"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D816CD"/>
    <w:multiLevelType w:val="multilevel"/>
    <w:tmpl w:val="79D816C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24"/>
  </w:num>
  <w:num w:numId="4">
    <w:abstractNumId w:val="3"/>
  </w:num>
  <w:num w:numId="5">
    <w:abstractNumId w:val="22"/>
  </w:num>
  <w:num w:numId="6">
    <w:abstractNumId w:val="15"/>
  </w:num>
  <w:num w:numId="7">
    <w:abstractNumId w:val="9"/>
  </w:num>
  <w:num w:numId="8">
    <w:abstractNumId w:val="5"/>
  </w:num>
  <w:num w:numId="9">
    <w:abstractNumId w:val="18"/>
  </w:num>
  <w:num w:numId="10">
    <w:abstractNumId w:val="23"/>
  </w:num>
  <w:num w:numId="11">
    <w:abstractNumId w:val="13"/>
  </w:num>
  <w:num w:numId="12">
    <w:abstractNumId w:val="20"/>
  </w:num>
  <w:num w:numId="13">
    <w:abstractNumId w:val="25"/>
  </w:num>
  <w:num w:numId="14">
    <w:abstractNumId w:val="7"/>
  </w:num>
  <w:num w:numId="15">
    <w:abstractNumId w:val="21"/>
  </w:num>
  <w:num w:numId="16">
    <w:abstractNumId w:val="6"/>
  </w:num>
  <w:num w:numId="17">
    <w:abstractNumId w:val="10"/>
  </w:num>
  <w:num w:numId="18">
    <w:abstractNumId w:val="19"/>
  </w:num>
  <w:num w:numId="19">
    <w:abstractNumId w:val="14"/>
  </w:num>
  <w:num w:numId="20">
    <w:abstractNumId w:val="17"/>
  </w:num>
  <w:num w:numId="21">
    <w:abstractNumId w:val="16"/>
  </w:num>
  <w:num w:numId="22">
    <w:abstractNumId w:val="1"/>
  </w:num>
  <w:num w:numId="23">
    <w:abstractNumId w:val="12"/>
  </w:num>
  <w:num w:numId="24">
    <w:abstractNumId w:val="4"/>
  </w:num>
  <w:num w:numId="25">
    <w:abstractNumId w:val="1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6CB"/>
    <w:rsid w:val="00002C54"/>
    <w:rsid w:val="00002EA0"/>
    <w:rsid w:val="00003A61"/>
    <w:rsid w:val="000044E2"/>
    <w:rsid w:val="00004558"/>
    <w:rsid w:val="000049AC"/>
    <w:rsid w:val="00004ED1"/>
    <w:rsid w:val="000051C4"/>
    <w:rsid w:val="0000557C"/>
    <w:rsid w:val="000055D1"/>
    <w:rsid w:val="00005762"/>
    <w:rsid w:val="000057B9"/>
    <w:rsid w:val="00005C91"/>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8AA"/>
    <w:rsid w:val="00010969"/>
    <w:rsid w:val="00010A7B"/>
    <w:rsid w:val="00010AF9"/>
    <w:rsid w:val="00010F90"/>
    <w:rsid w:val="000114F8"/>
    <w:rsid w:val="00011890"/>
    <w:rsid w:val="000118E9"/>
    <w:rsid w:val="00011B95"/>
    <w:rsid w:val="00011BB4"/>
    <w:rsid w:val="00011C8C"/>
    <w:rsid w:val="00011CE0"/>
    <w:rsid w:val="000123B6"/>
    <w:rsid w:val="000123C2"/>
    <w:rsid w:val="0001241A"/>
    <w:rsid w:val="000128EC"/>
    <w:rsid w:val="00012E08"/>
    <w:rsid w:val="00012E58"/>
    <w:rsid w:val="00012EC5"/>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AF9"/>
    <w:rsid w:val="00016BE3"/>
    <w:rsid w:val="00016C7B"/>
    <w:rsid w:val="00017916"/>
    <w:rsid w:val="0001796D"/>
    <w:rsid w:val="00017CFA"/>
    <w:rsid w:val="00017E5A"/>
    <w:rsid w:val="00020252"/>
    <w:rsid w:val="0002047C"/>
    <w:rsid w:val="0002066E"/>
    <w:rsid w:val="00020AE9"/>
    <w:rsid w:val="00020B43"/>
    <w:rsid w:val="00020ECF"/>
    <w:rsid w:val="000215D1"/>
    <w:rsid w:val="0002160B"/>
    <w:rsid w:val="00021644"/>
    <w:rsid w:val="00021E90"/>
    <w:rsid w:val="00022318"/>
    <w:rsid w:val="0002242E"/>
    <w:rsid w:val="0002249A"/>
    <w:rsid w:val="00022684"/>
    <w:rsid w:val="000228FC"/>
    <w:rsid w:val="000229B1"/>
    <w:rsid w:val="00022C5F"/>
    <w:rsid w:val="00022EDA"/>
    <w:rsid w:val="000232CC"/>
    <w:rsid w:val="00023416"/>
    <w:rsid w:val="00023527"/>
    <w:rsid w:val="000235A2"/>
    <w:rsid w:val="000235FB"/>
    <w:rsid w:val="00023951"/>
    <w:rsid w:val="00023EAB"/>
    <w:rsid w:val="000240BE"/>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3FBF"/>
    <w:rsid w:val="000443DB"/>
    <w:rsid w:val="000444B9"/>
    <w:rsid w:val="000445CC"/>
    <w:rsid w:val="00044C0B"/>
    <w:rsid w:val="00044FF3"/>
    <w:rsid w:val="00045271"/>
    <w:rsid w:val="000454E2"/>
    <w:rsid w:val="000458E6"/>
    <w:rsid w:val="00045BEB"/>
    <w:rsid w:val="00045E51"/>
    <w:rsid w:val="00045F11"/>
    <w:rsid w:val="0004618C"/>
    <w:rsid w:val="00046414"/>
    <w:rsid w:val="00046B64"/>
    <w:rsid w:val="00046EFA"/>
    <w:rsid w:val="000476D8"/>
    <w:rsid w:val="00047EFF"/>
    <w:rsid w:val="00050153"/>
    <w:rsid w:val="0005027A"/>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7C5"/>
    <w:rsid w:val="00053A19"/>
    <w:rsid w:val="00053C96"/>
    <w:rsid w:val="00054550"/>
    <w:rsid w:val="0005463C"/>
    <w:rsid w:val="00054700"/>
    <w:rsid w:val="000549F0"/>
    <w:rsid w:val="00054B6B"/>
    <w:rsid w:val="000554D2"/>
    <w:rsid w:val="00055624"/>
    <w:rsid w:val="000557A3"/>
    <w:rsid w:val="0005594E"/>
    <w:rsid w:val="000559F1"/>
    <w:rsid w:val="00055F68"/>
    <w:rsid w:val="000570B1"/>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6EB"/>
    <w:rsid w:val="0006577F"/>
    <w:rsid w:val="00065AB4"/>
    <w:rsid w:val="00065AC9"/>
    <w:rsid w:val="00065ADE"/>
    <w:rsid w:val="00065B15"/>
    <w:rsid w:val="00065D29"/>
    <w:rsid w:val="00065D58"/>
    <w:rsid w:val="00065FE2"/>
    <w:rsid w:val="000661FA"/>
    <w:rsid w:val="000664D9"/>
    <w:rsid w:val="00066556"/>
    <w:rsid w:val="00066A38"/>
    <w:rsid w:val="00066A7C"/>
    <w:rsid w:val="00066BD9"/>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45"/>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8B8"/>
    <w:rsid w:val="00082E47"/>
    <w:rsid w:val="00082E4E"/>
    <w:rsid w:val="00083283"/>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E5D"/>
    <w:rsid w:val="000902F8"/>
    <w:rsid w:val="000903CA"/>
    <w:rsid w:val="00090B8B"/>
    <w:rsid w:val="00090C79"/>
    <w:rsid w:val="00090D90"/>
    <w:rsid w:val="00090E09"/>
    <w:rsid w:val="0009101D"/>
    <w:rsid w:val="00091853"/>
    <w:rsid w:val="00091ABB"/>
    <w:rsid w:val="00091D48"/>
    <w:rsid w:val="000920BD"/>
    <w:rsid w:val="00092754"/>
    <w:rsid w:val="000929EA"/>
    <w:rsid w:val="00092A5C"/>
    <w:rsid w:val="00092B46"/>
    <w:rsid w:val="00092C57"/>
    <w:rsid w:val="00092CCA"/>
    <w:rsid w:val="00093082"/>
    <w:rsid w:val="0009334E"/>
    <w:rsid w:val="000934B3"/>
    <w:rsid w:val="00094551"/>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7D4"/>
    <w:rsid w:val="000A1A8F"/>
    <w:rsid w:val="000A1AB7"/>
    <w:rsid w:val="000A1C41"/>
    <w:rsid w:val="000A1C7B"/>
    <w:rsid w:val="000A1C7D"/>
    <w:rsid w:val="000A1E25"/>
    <w:rsid w:val="000A1E32"/>
    <w:rsid w:val="000A23F3"/>
    <w:rsid w:val="000A2795"/>
    <w:rsid w:val="000A2BC2"/>
    <w:rsid w:val="000A2BF8"/>
    <w:rsid w:val="000A333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700"/>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427"/>
    <w:rsid w:val="000C45FE"/>
    <w:rsid w:val="000C4972"/>
    <w:rsid w:val="000C4ECD"/>
    <w:rsid w:val="000C54E3"/>
    <w:rsid w:val="000C577F"/>
    <w:rsid w:val="000C5E7D"/>
    <w:rsid w:val="000C62FC"/>
    <w:rsid w:val="000C64C0"/>
    <w:rsid w:val="000C6C88"/>
    <w:rsid w:val="000C735C"/>
    <w:rsid w:val="000C7443"/>
    <w:rsid w:val="000C7512"/>
    <w:rsid w:val="000C7D1C"/>
    <w:rsid w:val="000D0496"/>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D1"/>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481"/>
    <w:rsid w:val="000E7949"/>
    <w:rsid w:val="000E7ADF"/>
    <w:rsid w:val="000E7E41"/>
    <w:rsid w:val="000F01A6"/>
    <w:rsid w:val="000F01F5"/>
    <w:rsid w:val="000F09D0"/>
    <w:rsid w:val="000F104F"/>
    <w:rsid w:val="000F14A4"/>
    <w:rsid w:val="000F18FB"/>
    <w:rsid w:val="000F19F4"/>
    <w:rsid w:val="000F1A83"/>
    <w:rsid w:val="000F1AE8"/>
    <w:rsid w:val="000F1D39"/>
    <w:rsid w:val="000F1E06"/>
    <w:rsid w:val="000F1EF3"/>
    <w:rsid w:val="000F1F38"/>
    <w:rsid w:val="000F2106"/>
    <w:rsid w:val="000F22C7"/>
    <w:rsid w:val="000F25D2"/>
    <w:rsid w:val="000F2606"/>
    <w:rsid w:val="000F275D"/>
    <w:rsid w:val="000F2BA8"/>
    <w:rsid w:val="000F374D"/>
    <w:rsid w:val="000F3AB4"/>
    <w:rsid w:val="000F3D9C"/>
    <w:rsid w:val="000F43B9"/>
    <w:rsid w:val="000F4528"/>
    <w:rsid w:val="000F4551"/>
    <w:rsid w:val="000F459C"/>
    <w:rsid w:val="000F48F4"/>
    <w:rsid w:val="000F4AE3"/>
    <w:rsid w:val="000F4E7F"/>
    <w:rsid w:val="000F4FBF"/>
    <w:rsid w:val="000F5672"/>
    <w:rsid w:val="000F5901"/>
    <w:rsid w:val="000F5DEF"/>
    <w:rsid w:val="000F5E06"/>
    <w:rsid w:val="000F6186"/>
    <w:rsid w:val="000F6199"/>
    <w:rsid w:val="000F6F20"/>
    <w:rsid w:val="000F7238"/>
    <w:rsid w:val="000F734D"/>
    <w:rsid w:val="000F750D"/>
    <w:rsid w:val="000F7565"/>
    <w:rsid w:val="000F76E1"/>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261"/>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C43"/>
    <w:rsid w:val="0012093B"/>
    <w:rsid w:val="00120AFD"/>
    <w:rsid w:val="00120B32"/>
    <w:rsid w:val="00120BE8"/>
    <w:rsid w:val="00121100"/>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740"/>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654"/>
    <w:rsid w:val="00140803"/>
    <w:rsid w:val="00140944"/>
    <w:rsid w:val="00140A5E"/>
    <w:rsid w:val="00140E7D"/>
    <w:rsid w:val="00140FDF"/>
    <w:rsid w:val="00141114"/>
    <w:rsid w:val="001413F3"/>
    <w:rsid w:val="001417C1"/>
    <w:rsid w:val="00141E23"/>
    <w:rsid w:val="001421E2"/>
    <w:rsid w:val="001427C0"/>
    <w:rsid w:val="00142807"/>
    <w:rsid w:val="00142923"/>
    <w:rsid w:val="00142C07"/>
    <w:rsid w:val="00142F21"/>
    <w:rsid w:val="0014300D"/>
    <w:rsid w:val="0014310C"/>
    <w:rsid w:val="0014320C"/>
    <w:rsid w:val="00143300"/>
    <w:rsid w:val="001433AF"/>
    <w:rsid w:val="0014343D"/>
    <w:rsid w:val="001436C3"/>
    <w:rsid w:val="00143B33"/>
    <w:rsid w:val="0014425D"/>
    <w:rsid w:val="001442BB"/>
    <w:rsid w:val="00145117"/>
    <w:rsid w:val="0014519A"/>
    <w:rsid w:val="00145240"/>
    <w:rsid w:val="0014532F"/>
    <w:rsid w:val="00145E21"/>
    <w:rsid w:val="00145F34"/>
    <w:rsid w:val="001464F2"/>
    <w:rsid w:val="001466FE"/>
    <w:rsid w:val="00146BFA"/>
    <w:rsid w:val="00146F05"/>
    <w:rsid w:val="00146F84"/>
    <w:rsid w:val="00147219"/>
    <w:rsid w:val="00147542"/>
    <w:rsid w:val="00147544"/>
    <w:rsid w:val="00147F8F"/>
    <w:rsid w:val="00147FD3"/>
    <w:rsid w:val="0015013B"/>
    <w:rsid w:val="001508A9"/>
    <w:rsid w:val="001509B0"/>
    <w:rsid w:val="00150BA3"/>
    <w:rsid w:val="00150D33"/>
    <w:rsid w:val="00150ED9"/>
    <w:rsid w:val="00150EF4"/>
    <w:rsid w:val="001510E2"/>
    <w:rsid w:val="00151163"/>
    <w:rsid w:val="0015138B"/>
    <w:rsid w:val="001514A2"/>
    <w:rsid w:val="00151632"/>
    <w:rsid w:val="00151650"/>
    <w:rsid w:val="0015167F"/>
    <w:rsid w:val="0015173E"/>
    <w:rsid w:val="001518A6"/>
    <w:rsid w:val="00151A8F"/>
    <w:rsid w:val="001522BF"/>
    <w:rsid w:val="001522E9"/>
    <w:rsid w:val="00152345"/>
    <w:rsid w:val="0015267E"/>
    <w:rsid w:val="00152731"/>
    <w:rsid w:val="00153129"/>
    <w:rsid w:val="00153589"/>
    <w:rsid w:val="00153849"/>
    <w:rsid w:val="001538F2"/>
    <w:rsid w:val="0015391E"/>
    <w:rsid w:val="00153922"/>
    <w:rsid w:val="00153CF0"/>
    <w:rsid w:val="0015403C"/>
    <w:rsid w:val="0015441C"/>
    <w:rsid w:val="00154966"/>
    <w:rsid w:val="00154AB2"/>
    <w:rsid w:val="00154CBB"/>
    <w:rsid w:val="00154D2A"/>
    <w:rsid w:val="00154F10"/>
    <w:rsid w:val="001550FC"/>
    <w:rsid w:val="00155171"/>
    <w:rsid w:val="001559A5"/>
    <w:rsid w:val="00155A63"/>
    <w:rsid w:val="00155D81"/>
    <w:rsid w:val="00156081"/>
    <w:rsid w:val="00156172"/>
    <w:rsid w:val="001562B4"/>
    <w:rsid w:val="0015646F"/>
    <w:rsid w:val="001564A2"/>
    <w:rsid w:val="0015652A"/>
    <w:rsid w:val="001569F6"/>
    <w:rsid w:val="00156EA4"/>
    <w:rsid w:val="00156EC1"/>
    <w:rsid w:val="00157512"/>
    <w:rsid w:val="001577E2"/>
    <w:rsid w:val="0015796A"/>
    <w:rsid w:val="00160319"/>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2E6"/>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0A"/>
    <w:rsid w:val="0018071A"/>
    <w:rsid w:val="00180C8E"/>
    <w:rsid w:val="001813B0"/>
    <w:rsid w:val="00181632"/>
    <w:rsid w:val="00181961"/>
    <w:rsid w:val="00182172"/>
    <w:rsid w:val="001829F9"/>
    <w:rsid w:val="00182B1F"/>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A7FF3"/>
    <w:rsid w:val="001B011F"/>
    <w:rsid w:val="001B019B"/>
    <w:rsid w:val="001B088B"/>
    <w:rsid w:val="001B0B5F"/>
    <w:rsid w:val="001B0E86"/>
    <w:rsid w:val="001B0FFD"/>
    <w:rsid w:val="001B1438"/>
    <w:rsid w:val="001B156C"/>
    <w:rsid w:val="001B1972"/>
    <w:rsid w:val="001B1A5F"/>
    <w:rsid w:val="001B2189"/>
    <w:rsid w:val="001B2CE3"/>
    <w:rsid w:val="001B2ED4"/>
    <w:rsid w:val="001B345C"/>
    <w:rsid w:val="001B3CDD"/>
    <w:rsid w:val="001B3D92"/>
    <w:rsid w:val="001B3DE0"/>
    <w:rsid w:val="001B4179"/>
    <w:rsid w:val="001B4573"/>
    <w:rsid w:val="001B45B2"/>
    <w:rsid w:val="001B4819"/>
    <w:rsid w:val="001B4B3D"/>
    <w:rsid w:val="001B4C15"/>
    <w:rsid w:val="001B4C67"/>
    <w:rsid w:val="001B5261"/>
    <w:rsid w:val="001B5313"/>
    <w:rsid w:val="001B5402"/>
    <w:rsid w:val="001B5889"/>
    <w:rsid w:val="001B5ADA"/>
    <w:rsid w:val="001B5DB5"/>
    <w:rsid w:val="001B6F5C"/>
    <w:rsid w:val="001B7378"/>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707"/>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13"/>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42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350"/>
    <w:rsid w:val="001E4729"/>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54E"/>
    <w:rsid w:val="001E7671"/>
    <w:rsid w:val="001F0092"/>
    <w:rsid w:val="001F07E5"/>
    <w:rsid w:val="001F099E"/>
    <w:rsid w:val="001F0C69"/>
    <w:rsid w:val="001F0F78"/>
    <w:rsid w:val="001F1023"/>
    <w:rsid w:val="001F1E75"/>
    <w:rsid w:val="001F20D6"/>
    <w:rsid w:val="001F20FE"/>
    <w:rsid w:val="001F261D"/>
    <w:rsid w:val="001F28BB"/>
    <w:rsid w:val="001F28F7"/>
    <w:rsid w:val="001F2B0B"/>
    <w:rsid w:val="001F2C74"/>
    <w:rsid w:val="001F3041"/>
    <w:rsid w:val="001F30B5"/>
    <w:rsid w:val="001F31EA"/>
    <w:rsid w:val="001F3235"/>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0FF"/>
    <w:rsid w:val="001F73FA"/>
    <w:rsid w:val="001F7499"/>
    <w:rsid w:val="001F754F"/>
    <w:rsid w:val="001F7ED6"/>
    <w:rsid w:val="002007F6"/>
    <w:rsid w:val="002008F3"/>
    <w:rsid w:val="00200A82"/>
    <w:rsid w:val="00200E3F"/>
    <w:rsid w:val="0020130A"/>
    <w:rsid w:val="002016F0"/>
    <w:rsid w:val="00201915"/>
    <w:rsid w:val="00202307"/>
    <w:rsid w:val="002023B1"/>
    <w:rsid w:val="00202570"/>
    <w:rsid w:val="00202D92"/>
    <w:rsid w:val="00203068"/>
    <w:rsid w:val="0020349A"/>
    <w:rsid w:val="00203E26"/>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422"/>
    <w:rsid w:val="002066D4"/>
    <w:rsid w:val="00207908"/>
    <w:rsid w:val="00207C88"/>
    <w:rsid w:val="00210674"/>
    <w:rsid w:val="002107FA"/>
    <w:rsid w:val="00210C30"/>
    <w:rsid w:val="00210D81"/>
    <w:rsid w:val="00210DE9"/>
    <w:rsid w:val="00211503"/>
    <w:rsid w:val="00211BA9"/>
    <w:rsid w:val="00211D9F"/>
    <w:rsid w:val="002122A5"/>
    <w:rsid w:val="002123C7"/>
    <w:rsid w:val="002124EB"/>
    <w:rsid w:val="00212544"/>
    <w:rsid w:val="0021267F"/>
    <w:rsid w:val="00212783"/>
    <w:rsid w:val="002129CC"/>
    <w:rsid w:val="00212ABB"/>
    <w:rsid w:val="0021300C"/>
    <w:rsid w:val="0021374B"/>
    <w:rsid w:val="00213862"/>
    <w:rsid w:val="00213B96"/>
    <w:rsid w:val="00213E32"/>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5D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BE9"/>
    <w:rsid w:val="0023174E"/>
    <w:rsid w:val="002318D4"/>
    <w:rsid w:val="00231F98"/>
    <w:rsid w:val="00231FE0"/>
    <w:rsid w:val="0023213B"/>
    <w:rsid w:val="002325D3"/>
    <w:rsid w:val="00232611"/>
    <w:rsid w:val="0023261E"/>
    <w:rsid w:val="00232CC6"/>
    <w:rsid w:val="00232EC6"/>
    <w:rsid w:val="002331E4"/>
    <w:rsid w:val="00233638"/>
    <w:rsid w:val="00233693"/>
    <w:rsid w:val="00233B0D"/>
    <w:rsid w:val="00233C9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B61"/>
    <w:rsid w:val="00243C86"/>
    <w:rsid w:val="00244303"/>
    <w:rsid w:val="002444AE"/>
    <w:rsid w:val="00244B6B"/>
    <w:rsid w:val="00244CDA"/>
    <w:rsid w:val="00244D1F"/>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2D6"/>
    <w:rsid w:val="002575FB"/>
    <w:rsid w:val="00257742"/>
    <w:rsid w:val="00257EF7"/>
    <w:rsid w:val="00257F6E"/>
    <w:rsid w:val="00260094"/>
    <w:rsid w:val="00260C5C"/>
    <w:rsid w:val="00261211"/>
    <w:rsid w:val="002614C2"/>
    <w:rsid w:val="002615E2"/>
    <w:rsid w:val="002616F4"/>
    <w:rsid w:val="00261A7E"/>
    <w:rsid w:val="00261DCD"/>
    <w:rsid w:val="00261E14"/>
    <w:rsid w:val="00261EE8"/>
    <w:rsid w:val="002621F0"/>
    <w:rsid w:val="0026269E"/>
    <w:rsid w:val="00262824"/>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48D"/>
    <w:rsid w:val="00265862"/>
    <w:rsid w:val="00265B73"/>
    <w:rsid w:val="002666AC"/>
    <w:rsid w:val="002667F2"/>
    <w:rsid w:val="00266BF2"/>
    <w:rsid w:val="00266C25"/>
    <w:rsid w:val="00266EDE"/>
    <w:rsid w:val="002673A0"/>
    <w:rsid w:val="002673B2"/>
    <w:rsid w:val="0026780C"/>
    <w:rsid w:val="00267B49"/>
    <w:rsid w:val="00267F4C"/>
    <w:rsid w:val="002700FC"/>
    <w:rsid w:val="002701B5"/>
    <w:rsid w:val="0027031D"/>
    <w:rsid w:val="00270564"/>
    <w:rsid w:val="00270641"/>
    <w:rsid w:val="00270656"/>
    <w:rsid w:val="002708C7"/>
    <w:rsid w:val="00270AE7"/>
    <w:rsid w:val="00270C18"/>
    <w:rsid w:val="00270F02"/>
    <w:rsid w:val="002714A1"/>
    <w:rsid w:val="00271D1E"/>
    <w:rsid w:val="002724A1"/>
    <w:rsid w:val="002725DA"/>
    <w:rsid w:val="00272876"/>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0E3"/>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1EEF"/>
    <w:rsid w:val="002828EF"/>
    <w:rsid w:val="00282999"/>
    <w:rsid w:val="002829E5"/>
    <w:rsid w:val="00282A7C"/>
    <w:rsid w:val="00282AF5"/>
    <w:rsid w:val="0028307C"/>
    <w:rsid w:val="0028387F"/>
    <w:rsid w:val="00283DFC"/>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24D"/>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22E"/>
    <w:rsid w:val="002B33E9"/>
    <w:rsid w:val="002B34E5"/>
    <w:rsid w:val="002B355E"/>
    <w:rsid w:val="002B393C"/>
    <w:rsid w:val="002B3F8D"/>
    <w:rsid w:val="002B433C"/>
    <w:rsid w:val="002B437A"/>
    <w:rsid w:val="002B453D"/>
    <w:rsid w:val="002B45CE"/>
    <w:rsid w:val="002B490E"/>
    <w:rsid w:val="002B50F5"/>
    <w:rsid w:val="002B51D8"/>
    <w:rsid w:val="002B5274"/>
    <w:rsid w:val="002B547E"/>
    <w:rsid w:val="002B58A5"/>
    <w:rsid w:val="002B59DB"/>
    <w:rsid w:val="002B5A01"/>
    <w:rsid w:val="002B5A58"/>
    <w:rsid w:val="002B5B0C"/>
    <w:rsid w:val="002B5B73"/>
    <w:rsid w:val="002B65EC"/>
    <w:rsid w:val="002B6CD0"/>
    <w:rsid w:val="002B70C2"/>
    <w:rsid w:val="002B7178"/>
    <w:rsid w:val="002B725C"/>
    <w:rsid w:val="002B73C1"/>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6D9"/>
    <w:rsid w:val="002C3B54"/>
    <w:rsid w:val="002C434C"/>
    <w:rsid w:val="002C4471"/>
    <w:rsid w:val="002C4490"/>
    <w:rsid w:val="002C47EF"/>
    <w:rsid w:val="002C4A0A"/>
    <w:rsid w:val="002C50D3"/>
    <w:rsid w:val="002C54A0"/>
    <w:rsid w:val="002C58BF"/>
    <w:rsid w:val="002C6077"/>
    <w:rsid w:val="002C6903"/>
    <w:rsid w:val="002C6B21"/>
    <w:rsid w:val="002C6D19"/>
    <w:rsid w:val="002C705C"/>
    <w:rsid w:val="002C70E1"/>
    <w:rsid w:val="002C72DE"/>
    <w:rsid w:val="002C760C"/>
    <w:rsid w:val="002C7CBE"/>
    <w:rsid w:val="002C7FB4"/>
    <w:rsid w:val="002C7FE3"/>
    <w:rsid w:val="002D0530"/>
    <w:rsid w:val="002D0AA0"/>
    <w:rsid w:val="002D0AD3"/>
    <w:rsid w:val="002D0C01"/>
    <w:rsid w:val="002D0E57"/>
    <w:rsid w:val="002D1421"/>
    <w:rsid w:val="002D15E1"/>
    <w:rsid w:val="002D2261"/>
    <w:rsid w:val="002D230A"/>
    <w:rsid w:val="002D25FB"/>
    <w:rsid w:val="002D2B08"/>
    <w:rsid w:val="002D2CA9"/>
    <w:rsid w:val="002D3188"/>
    <w:rsid w:val="002D3216"/>
    <w:rsid w:val="002D357A"/>
    <w:rsid w:val="002D3B88"/>
    <w:rsid w:val="002D3E01"/>
    <w:rsid w:val="002D41EC"/>
    <w:rsid w:val="002D43B1"/>
    <w:rsid w:val="002D49DC"/>
    <w:rsid w:val="002D4B0B"/>
    <w:rsid w:val="002D4D21"/>
    <w:rsid w:val="002D4D39"/>
    <w:rsid w:val="002D5200"/>
    <w:rsid w:val="002D52DF"/>
    <w:rsid w:val="002D590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3DF"/>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0B"/>
    <w:rsid w:val="00300FB1"/>
    <w:rsid w:val="00301060"/>
    <w:rsid w:val="0030181B"/>
    <w:rsid w:val="00301959"/>
    <w:rsid w:val="003019E1"/>
    <w:rsid w:val="00301A6A"/>
    <w:rsid w:val="00301D6D"/>
    <w:rsid w:val="00301EEF"/>
    <w:rsid w:val="003023CA"/>
    <w:rsid w:val="003024D4"/>
    <w:rsid w:val="00302B54"/>
    <w:rsid w:val="00302BF5"/>
    <w:rsid w:val="00302CCC"/>
    <w:rsid w:val="00302D12"/>
    <w:rsid w:val="00302E8F"/>
    <w:rsid w:val="00303681"/>
    <w:rsid w:val="003037AD"/>
    <w:rsid w:val="00303C41"/>
    <w:rsid w:val="00303C7B"/>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662"/>
    <w:rsid w:val="0031084C"/>
    <w:rsid w:val="00310A2A"/>
    <w:rsid w:val="003112E2"/>
    <w:rsid w:val="0031142D"/>
    <w:rsid w:val="00311917"/>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699"/>
    <w:rsid w:val="00315BE0"/>
    <w:rsid w:val="00315D82"/>
    <w:rsid w:val="00315DAC"/>
    <w:rsid w:val="0031659D"/>
    <w:rsid w:val="00316777"/>
    <w:rsid w:val="003167E8"/>
    <w:rsid w:val="00316A43"/>
    <w:rsid w:val="00316DB5"/>
    <w:rsid w:val="00316EB6"/>
    <w:rsid w:val="0031716E"/>
    <w:rsid w:val="00317B53"/>
    <w:rsid w:val="00320255"/>
    <w:rsid w:val="003203F8"/>
    <w:rsid w:val="00320907"/>
    <w:rsid w:val="00320CF6"/>
    <w:rsid w:val="0032146D"/>
    <w:rsid w:val="00321492"/>
    <w:rsid w:val="003218F9"/>
    <w:rsid w:val="0032221A"/>
    <w:rsid w:val="00322642"/>
    <w:rsid w:val="00322C03"/>
    <w:rsid w:val="00322EB9"/>
    <w:rsid w:val="00323052"/>
    <w:rsid w:val="003230FA"/>
    <w:rsid w:val="00323173"/>
    <w:rsid w:val="00323457"/>
    <w:rsid w:val="003237A4"/>
    <w:rsid w:val="00323910"/>
    <w:rsid w:val="00323BE3"/>
    <w:rsid w:val="00323E61"/>
    <w:rsid w:val="00324109"/>
    <w:rsid w:val="00324AED"/>
    <w:rsid w:val="00324AEF"/>
    <w:rsid w:val="00324C51"/>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2D76"/>
    <w:rsid w:val="0033344C"/>
    <w:rsid w:val="00333A42"/>
    <w:rsid w:val="00333A43"/>
    <w:rsid w:val="00333FB1"/>
    <w:rsid w:val="00334019"/>
    <w:rsid w:val="0033428D"/>
    <w:rsid w:val="003345F3"/>
    <w:rsid w:val="00334BC5"/>
    <w:rsid w:val="00334CE2"/>
    <w:rsid w:val="00334EC0"/>
    <w:rsid w:val="003352A4"/>
    <w:rsid w:val="0033533A"/>
    <w:rsid w:val="0033549A"/>
    <w:rsid w:val="00335ABE"/>
    <w:rsid w:val="00335B43"/>
    <w:rsid w:val="00335BA3"/>
    <w:rsid w:val="00336B13"/>
    <w:rsid w:val="00336D7F"/>
    <w:rsid w:val="00336F5F"/>
    <w:rsid w:val="00337310"/>
    <w:rsid w:val="0033774F"/>
    <w:rsid w:val="00337895"/>
    <w:rsid w:val="00337969"/>
    <w:rsid w:val="003379EB"/>
    <w:rsid w:val="00337DB1"/>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EB0"/>
    <w:rsid w:val="00345F9C"/>
    <w:rsid w:val="003460E5"/>
    <w:rsid w:val="0034670C"/>
    <w:rsid w:val="003467D2"/>
    <w:rsid w:val="0034691F"/>
    <w:rsid w:val="003469D0"/>
    <w:rsid w:val="00346B8C"/>
    <w:rsid w:val="00347287"/>
    <w:rsid w:val="003474A9"/>
    <w:rsid w:val="0034753F"/>
    <w:rsid w:val="003475FE"/>
    <w:rsid w:val="00347620"/>
    <w:rsid w:val="003477C9"/>
    <w:rsid w:val="003479DD"/>
    <w:rsid w:val="00347D74"/>
    <w:rsid w:val="00350132"/>
    <w:rsid w:val="00350811"/>
    <w:rsid w:val="003508DC"/>
    <w:rsid w:val="00350A7C"/>
    <w:rsid w:val="00350BDB"/>
    <w:rsid w:val="00350C2C"/>
    <w:rsid w:val="00350D38"/>
    <w:rsid w:val="00350DEB"/>
    <w:rsid w:val="00351304"/>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F8C"/>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414"/>
    <w:rsid w:val="00357544"/>
    <w:rsid w:val="0035780C"/>
    <w:rsid w:val="00357A41"/>
    <w:rsid w:val="00357A5C"/>
    <w:rsid w:val="00357E91"/>
    <w:rsid w:val="003604BA"/>
    <w:rsid w:val="00360533"/>
    <w:rsid w:val="00360A39"/>
    <w:rsid w:val="00360BD4"/>
    <w:rsid w:val="00361927"/>
    <w:rsid w:val="00361DCD"/>
    <w:rsid w:val="00361E0C"/>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DFA"/>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20B"/>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ABC"/>
    <w:rsid w:val="00377B07"/>
    <w:rsid w:val="00377B6F"/>
    <w:rsid w:val="00377B7A"/>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162"/>
    <w:rsid w:val="0038521B"/>
    <w:rsid w:val="00385445"/>
    <w:rsid w:val="00385581"/>
    <w:rsid w:val="00385609"/>
    <w:rsid w:val="00385799"/>
    <w:rsid w:val="00385833"/>
    <w:rsid w:val="00385EC6"/>
    <w:rsid w:val="00386335"/>
    <w:rsid w:val="00386983"/>
    <w:rsid w:val="00386AEA"/>
    <w:rsid w:val="00386D65"/>
    <w:rsid w:val="00386D7D"/>
    <w:rsid w:val="00387224"/>
    <w:rsid w:val="00387880"/>
    <w:rsid w:val="003878DD"/>
    <w:rsid w:val="00387C75"/>
    <w:rsid w:val="00390063"/>
    <w:rsid w:val="0039030E"/>
    <w:rsid w:val="00390755"/>
    <w:rsid w:val="00390839"/>
    <w:rsid w:val="00390C25"/>
    <w:rsid w:val="003910E9"/>
    <w:rsid w:val="00391403"/>
    <w:rsid w:val="0039181D"/>
    <w:rsid w:val="0039207D"/>
    <w:rsid w:val="00392626"/>
    <w:rsid w:val="0039269B"/>
    <w:rsid w:val="0039281A"/>
    <w:rsid w:val="00392A93"/>
    <w:rsid w:val="00392AD4"/>
    <w:rsid w:val="003931DA"/>
    <w:rsid w:val="00393A89"/>
    <w:rsid w:val="00393ADA"/>
    <w:rsid w:val="00394630"/>
    <w:rsid w:val="00395246"/>
    <w:rsid w:val="003956BA"/>
    <w:rsid w:val="003959B5"/>
    <w:rsid w:val="00395C29"/>
    <w:rsid w:val="00396876"/>
    <w:rsid w:val="003968EC"/>
    <w:rsid w:val="00396CDF"/>
    <w:rsid w:val="003972ED"/>
    <w:rsid w:val="003974C0"/>
    <w:rsid w:val="00397554"/>
    <w:rsid w:val="00397804"/>
    <w:rsid w:val="00397C23"/>
    <w:rsid w:val="003A012F"/>
    <w:rsid w:val="003A0DB2"/>
    <w:rsid w:val="003A1A10"/>
    <w:rsid w:val="003A1BA6"/>
    <w:rsid w:val="003A1BCE"/>
    <w:rsid w:val="003A1BD0"/>
    <w:rsid w:val="003A1D6E"/>
    <w:rsid w:val="003A1E7D"/>
    <w:rsid w:val="003A1EB0"/>
    <w:rsid w:val="003A1F73"/>
    <w:rsid w:val="003A2543"/>
    <w:rsid w:val="003A2841"/>
    <w:rsid w:val="003A348E"/>
    <w:rsid w:val="003A3640"/>
    <w:rsid w:val="003A36A8"/>
    <w:rsid w:val="003A3F9E"/>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B09"/>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BF1"/>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A5D"/>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1A"/>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D4"/>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707"/>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296"/>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847"/>
    <w:rsid w:val="003F2ED5"/>
    <w:rsid w:val="003F33C4"/>
    <w:rsid w:val="003F3839"/>
    <w:rsid w:val="003F38BD"/>
    <w:rsid w:val="003F38F0"/>
    <w:rsid w:val="003F39DF"/>
    <w:rsid w:val="003F3C84"/>
    <w:rsid w:val="003F47FB"/>
    <w:rsid w:val="003F4D4E"/>
    <w:rsid w:val="003F5CCA"/>
    <w:rsid w:val="003F5DC5"/>
    <w:rsid w:val="003F62B4"/>
    <w:rsid w:val="003F65C7"/>
    <w:rsid w:val="003F686E"/>
    <w:rsid w:val="003F69B5"/>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518"/>
    <w:rsid w:val="00403B4F"/>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72"/>
    <w:rsid w:val="00415EA3"/>
    <w:rsid w:val="00415F2B"/>
    <w:rsid w:val="00416154"/>
    <w:rsid w:val="00416428"/>
    <w:rsid w:val="004168DB"/>
    <w:rsid w:val="00417102"/>
    <w:rsid w:val="00417139"/>
    <w:rsid w:val="004172D6"/>
    <w:rsid w:val="00417562"/>
    <w:rsid w:val="0041768B"/>
    <w:rsid w:val="00417D03"/>
    <w:rsid w:val="00417EF6"/>
    <w:rsid w:val="0042021F"/>
    <w:rsid w:val="00420407"/>
    <w:rsid w:val="00420481"/>
    <w:rsid w:val="00420827"/>
    <w:rsid w:val="00420933"/>
    <w:rsid w:val="00420BCD"/>
    <w:rsid w:val="004214D2"/>
    <w:rsid w:val="0042159A"/>
    <w:rsid w:val="00421D06"/>
    <w:rsid w:val="0042266A"/>
    <w:rsid w:val="00422685"/>
    <w:rsid w:val="004226D5"/>
    <w:rsid w:val="00422A19"/>
    <w:rsid w:val="00422B30"/>
    <w:rsid w:val="00423063"/>
    <w:rsid w:val="00423989"/>
    <w:rsid w:val="00424197"/>
    <w:rsid w:val="004241F4"/>
    <w:rsid w:val="00424CE5"/>
    <w:rsid w:val="004250E4"/>
    <w:rsid w:val="004258A5"/>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EC2"/>
    <w:rsid w:val="00427FCB"/>
    <w:rsid w:val="00430152"/>
    <w:rsid w:val="00430736"/>
    <w:rsid w:val="00430862"/>
    <w:rsid w:val="00430D29"/>
    <w:rsid w:val="00430F4B"/>
    <w:rsid w:val="00431069"/>
    <w:rsid w:val="004313C0"/>
    <w:rsid w:val="00431814"/>
    <w:rsid w:val="00431C62"/>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4EBE"/>
    <w:rsid w:val="004354AF"/>
    <w:rsid w:val="0043559D"/>
    <w:rsid w:val="0043565F"/>
    <w:rsid w:val="004356DB"/>
    <w:rsid w:val="00435F29"/>
    <w:rsid w:val="00436211"/>
    <w:rsid w:val="00436322"/>
    <w:rsid w:val="0043635A"/>
    <w:rsid w:val="00436998"/>
    <w:rsid w:val="00436A3C"/>
    <w:rsid w:val="00436BF9"/>
    <w:rsid w:val="00437190"/>
    <w:rsid w:val="004372FD"/>
    <w:rsid w:val="004379D5"/>
    <w:rsid w:val="00437A60"/>
    <w:rsid w:val="00437B42"/>
    <w:rsid w:val="00437BB1"/>
    <w:rsid w:val="00440234"/>
    <w:rsid w:val="00440248"/>
    <w:rsid w:val="00440792"/>
    <w:rsid w:val="004408F8"/>
    <w:rsid w:val="00440B98"/>
    <w:rsid w:val="004413E5"/>
    <w:rsid w:val="004413F7"/>
    <w:rsid w:val="00441C09"/>
    <w:rsid w:val="0044204C"/>
    <w:rsid w:val="00442489"/>
    <w:rsid w:val="00442D1B"/>
    <w:rsid w:val="00442E80"/>
    <w:rsid w:val="0044334B"/>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92"/>
    <w:rsid w:val="00447CE3"/>
    <w:rsid w:val="00450129"/>
    <w:rsid w:val="00450246"/>
    <w:rsid w:val="00450AA0"/>
    <w:rsid w:val="004512DD"/>
    <w:rsid w:val="00451300"/>
    <w:rsid w:val="004515AF"/>
    <w:rsid w:val="0045173D"/>
    <w:rsid w:val="00451A00"/>
    <w:rsid w:val="00451ABF"/>
    <w:rsid w:val="00451CC5"/>
    <w:rsid w:val="00451DE4"/>
    <w:rsid w:val="00452498"/>
    <w:rsid w:val="00452742"/>
    <w:rsid w:val="0045297E"/>
    <w:rsid w:val="004530D2"/>
    <w:rsid w:val="0045315C"/>
    <w:rsid w:val="00453494"/>
    <w:rsid w:val="00453D19"/>
    <w:rsid w:val="00453DD9"/>
    <w:rsid w:val="00454522"/>
    <w:rsid w:val="00454582"/>
    <w:rsid w:val="00454744"/>
    <w:rsid w:val="004553B1"/>
    <w:rsid w:val="00455558"/>
    <w:rsid w:val="004555F2"/>
    <w:rsid w:val="00455AFC"/>
    <w:rsid w:val="00455B9C"/>
    <w:rsid w:val="0045611C"/>
    <w:rsid w:val="00456999"/>
    <w:rsid w:val="00457522"/>
    <w:rsid w:val="004576A1"/>
    <w:rsid w:val="00457B10"/>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33"/>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BA8"/>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80A"/>
    <w:rsid w:val="00482957"/>
    <w:rsid w:val="00482CD9"/>
    <w:rsid w:val="004837D0"/>
    <w:rsid w:val="00483D35"/>
    <w:rsid w:val="004846B9"/>
    <w:rsid w:val="00484AEE"/>
    <w:rsid w:val="00484C9B"/>
    <w:rsid w:val="00484CBB"/>
    <w:rsid w:val="00484CC7"/>
    <w:rsid w:val="00484D0C"/>
    <w:rsid w:val="00484D88"/>
    <w:rsid w:val="004855B3"/>
    <w:rsid w:val="004858D9"/>
    <w:rsid w:val="00485F78"/>
    <w:rsid w:val="00486590"/>
    <w:rsid w:val="0048666C"/>
    <w:rsid w:val="0048668F"/>
    <w:rsid w:val="00486C8E"/>
    <w:rsid w:val="00486E1F"/>
    <w:rsid w:val="00487000"/>
    <w:rsid w:val="004870E9"/>
    <w:rsid w:val="004871A3"/>
    <w:rsid w:val="004871B4"/>
    <w:rsid w:val="00487224"/>
    <w:rsid w:val="004872B7"/>
    <w:rsid w:val="00487637"/>
    <w:rsid w:val="004877BC"/>
    <w:rsid w:val="00487A6A"/>
    <w:rsid w:val="0049013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64F"/>
    <w:rsid w:val="004A071D"/>
    <w:rsid w:val="004A0CDF"/>
    <w:rsid w:val="004A1286"/>
    <w:rsid w:val="004A1659"/>
    <w:rsid w:val="004A1B6B"/>
    <w:rsid w:val="004A1D75"/>
    <w:rsid w:val="004A2082"/>
    <w:rsid w:val="004A253B"/>
    <w:rsid w:val="004A290C"/>
    <w:rsid w:val="004A294C"/>
    <w:rsid w:val="004A2D61"/>
    <w:rsid w:val="004A2DFE"/>
    <w:rsid w:val="004A382D"/>
    <w:rsid w:val="004A3EC0"/>
    <w:rsid w:val="004A409B"/>
    <w:rsid w:val="004A436F"/>
    <w:rsid w:val="004A4693"/>
    <w:rsid w:val="004A4AF8"/>
    <w:rsid w:val="004A4D62"/>
    <w:rsid w:val="004A4F1B"/>
    <w:rsid w:val="004A4F88"/>
    <w:rsid w:val="004A526D"/>
    <w:rsid w:val="004A58E1"/>
    <w:rsid w:val="004A5FBF"/>
    <w:rsid w:val="004A60F6"/>
    <w:rsid w:val="004A6165"/>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9F"/>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2C23"/>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C7AA0"/>
    <w:rsid w:val="004D053B"/>
    <w:rsid w:val="004D0961"/>
    <w:rsid w:val="004D0BBE"/>
    <w:rsid w:val="004D0BCD"/>
    <w:rsid w:val="004D1299"/>
    <w:rsid w:val="004D151C"/>
    <w:rsid w:val="004D1853"/>
    <w:rsid w:val="004D18A9"/>
    <w:rsid w:val="004D1FBB"/>
    <w:rsid w:val="004D2262"/>
    <w:rsid w:val="004D2286"/>
    <w:rsid w:val="004D2758"/>
    <w:rsid w:val="004D28F9"/>
    <w:rsid w:val="004D29E6"/>
    <w:rsid w:val="004D3524"/>
    <w:rsid w:val="004D357C"/>
    <w:rsid w:val="004D35AD"/>
    <w:rsid w:val="004D35FB"/>
    <w:rsid w:val="004D3722"/>
    <w:rsid w:val="004D3952"/>
    <w:rsid w:val="004D398A"/>
    <w:rsid w:val="004D3C4E"/>
    <w:rsid w:val="004D3EDE"/>
    <w:rsid w:val="004D3F90"/>
    <w:rsid w:val="004D4448"/>
    <w:rsid w:val="004D4459"/>
    <w:rsid w:val="004D4633"/>
    <w:rsid w:val="004D4A1F"/>
    <w:rsid w:val="004D4D7D"/>
    <w:rsid w:val="004D5645"/>
    <w:rsid w:val="004D59CF"/>
    <w:rsid w:val="004D5AFD"/>
    <w:rsid w:val="004D5EF6"/>
    <w:rsid w:val="004D6274"/>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F3F"/>
    <w:rsid w:val="004E46AA"/>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333"/>
    <w:rsid w:val="004F2773"/>
    <w:rsid w:val="004F27CF"/>
    <w:rsid w:val="004F2888"/>
    <w:rsid w:val="004F293E"/>
    <w:rsid w:val="004F2C4C"/>
    <w:rsid w:val="004F34E8"/>
    <w:rsid w:val="004F3C7C"/>
    <w:rsid w:val="004F401D"/>
    <w:rsid w:val="004F45A4"/>
    <w:rsid w:val="004F45B9"/>
    <w:rsid w:val="004F4B19"/>
    <w:rsid w:val="004F4CD3"/>
    <w:rsid w:val="004F541A"/>
    <w:rsid w:val="004F548F"/>
    <w:rsid w:val="004F570C"/>
    <w:rsid w:val="004F5A1C"/>
    <w:rsid w:val="004F5A68"/>
    <w:rsid w:val="004F5E3A"/>
    <w:rsid w:val="004F60DA"/>
    <w:rsid w:val="004F65B0"/>
    <w:rsid w:val="004F6984"/>
    <w:rsid w:val="004F6D07"/>
    <w:rsid w:val="004F6FB2"/>
    <w:rsid w:val="004F7225"/>
    <w:rsid w:val="004F7395"/>
    <w:rsid w:val="004F76E2"/>
    <w:rsid w:val="004F7802"/>
    <w:rsid w:val="0050060B"/>
    <w:rsid w:val="0050068C"/>
    <w:rsid w:val="005007BE"/>
    <w:rsid w:val="005009BE"/>
    <w:rsid w:val="005016A4"/>
    <w:rsid w:val="0050204D"/>
    <w:rsid w:val="0050233D"/>
    <w:rsid w:val="0050243B"/>
    <w:rsid w:val="00502663"/>
    <w:rsid w:val="00502829"/>
    <w:rsid w:val="00502CEF"/>
    <w:rsid w:val="00503153"/>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3F98"/>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93"/>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46A"/>
    <w:rsid w:val="005619E0"/>
    <w:rsid w:val="00561D19"/>
    <w:rsid w:val="00561F12"/>
    <w:rsid w:val="005623F3"/>
    <w:rsid w:val="0056248E"/>
    <w:rsid w:val="00562810"/>
    <w:rsid w:val="00562D0B"/>
    <w:rsid w:val="00562FEF"/>
    <w:rsid w:val="00563365"/>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488"/>
    <w:rsid w:val="00572889"/>
    <w:rsid w:val="005729C6"/>
    <w:rsid w:val="00572AC6"/>
    <w:rsid w:val="00573278"/>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D53"/>
    <w:rsid w:val="00583545"/>
    <w:rsid w:val="005835F9"/>
    <w:rsid w:val="005838D4"/>
    <w:rsid w:val="00583DFD"/>
    <w:rsid w:val="00583F89"/>
    <w:rsid w:val="0058403F"/>
    <w:rsid w:val="005840E3"/>
    <w:rsid w:val="00584211"/>
    <w:rsid w:val="005845D3"/>
    <w:rsid w:val="00584BF1"/>
    <w:rsid w:val="00584D0C"/>
    <w:rsid w:val="00584FC3"/>
    <w:rsid w:val="00585307"/>
    <w:rsid w:val="005856B1"/>
    <w:rsid w:val="005858B1"/>
    <w:rsid w:val="00585D9D"/>
    <w:rsid w:val="0058635F"/>
    <w:rsid w:val="0058637E"/>
    <w:rsid w:val="0058678B"/>
    <w:rsid w:val="00586ADE"/>
    <w:rsid w:val="0058709F"/>
    <w:rsid w:val="0058756C"/>
    <w:rsid w:val="00587864"/>
    <w:rsid w:val="005878A9"/>
    <w:rsid w:val="005878CA"/>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972"/>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BCD"/>
    <w:rsid w:val="005A1C4A"/>
    <w:rsid w:val="005A2248"/>
    <w:rsid w:val="005A233F"/>
    <w:rsid w:val="005A24DF"/>
    <w:rsid w:val="005A2736"/>
    <w:rsid w:val="005A276A"/>
    <w:rsid w:val="005A276E"/>
    <w:rsid w:val="005A27F5"/>
    <w:rsid w:val="005A2DE3"/>
    <w:rsid w:val="005A2E29"/>
    <w:rsid w:val="005A2E6A"/>
    <w:rsid w:val="005A312F"/>
    <w:rsid w:val="005A3160"/>
    <w:rsid w:val="005A34E9"/>
    <w:rsid w:val="005A354C"/>
    <w:rsid w:val="005A35DF"/>
    <w:rsid w:val="005A3C10"/>
    <w:rsid w:val="005A3DEB"/>
    <w:rsid w:val="005A4037"/>
    <w:rsid w:val="005A4AC4"/>
    <w:rsid w:val="005A4BFF"/>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A7D"/>
    <w:rsid w:val="005B2ED7"/>
    <w:rsid w:val="005B3244"/>
    <w:rsid w:val="005B3268"/>
    <w:rsid w:val="005B335D"/>
    <w:rsid w:val="005B33A9"/>
    <w:rsid w:val="005B35DB"/>
    <w:rsid w:val="005B3601"/>
    <w:rsid w:val="005B37AC"/>
    <w:rsid w:val="005B37C5"/>
    <w:rsid w:val="005B38AE"/>
    <w:rsid w:val="005B3AB8"/>
    <w:rsid w:val="005B3AC3"/>
    <w:rsid w:val="005B3CEB"/>
    <w:rsid w:val="005B3E5F"/>
    <w:rsid w:val="005B4948"/>
    <w:rsid w:val="005B4A0C"/>
    <w:rsid w:val="005B4DBF"/>
    <w:rsid w:val="005B4F24"/>
    <w:rsid w:val="005B52B6"/>
    <w:rsid w:val="005B55AE"/>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92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5F"/>
    <w:rsid w:val="005D7410"/>
    <w:rsid w:val="005D7459"/>
    <w:rsid w:val="005E106F"/>
    <w:rsid w:val="005E1714"/>
    <w:rsid w:val="005E1BC5"/>
    <w:rsid w:val="005E1FF3"/>
    <w:rsid w:val="005E20F0"/>
    <w:rsid w:val="005E248C"/>
    <w:rsid w:val="005E2941"/>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EC0"/>
    <w:rsid w:val="005F2303"/>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18A"/>
    <w:rsid w:val="005F5282"/>
    <w:rsid w:val="005F55BE"/>
    <w:rsid w:val="005F56D1"/>
    <w:rsid w:val="005F5921"/>
    <w:rsid w:val="005F5A3C"/>
    <w:rsid w:val="005F62E7"/>
    <w:rsid w:val="005F64B8"/>
    <w:rsid w:val="005F663A"/>
    <w:rsid w:val="005F6683"/>
    <w:rsid w:val="005F6881"/>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4EF1"/>
    <w:rsid w:val="006050E5"/>
    <w:rsid w:val="006054DE"/>
    <w:rsid w:val="00605E50"/>
    <w:rsid w:val="006060F7"/>
    <w:rsid w:val="006063D5"/>
    <w:rsid w:val="00606AB9"/>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829"/>
    <w:rsid w:val="0061292D"/>
    <w:rsid w:val="00612E32"/>
    <w:rsid w:val="006133F7"/>
    <w:rsid w:val="00613536"/>
    <w:rsid w:val="00613578"/>
    <w:rsid w:val="00613A9A"/>
    <w:rsid w:val="00613C89"/>
    <w:rsid w:val="0061461D"/>
    <w:rsid w:val="00614BBE"/>
    <w:rsid w:val="00614F12"/>
    <w:rsid w:val="00615231"/>
    <w:rsid w:val="00615310"/>
    <w:rsid w:val="00615D88"/>
    <w:rsid w:val="00615DFD"/>
    <w:rsid w:val="006163B5"/>
    <w:rsid w:val="0061641A"/>
    <w:rsid w:val="00616BEE"/>
    <w:rsid w:val="00616DDF"/>
    <w:rsid w:val="00616E04"/>
    <w:rsid w:val="00616E88"/>
    <w:rsid w:val="00616FBC"/>
    <w:rsid w:val="00617119"/>
    <w:rsid w:val="006171FF"/>
    <w:rsid w:val="0061762E"/>
    <w:rsid w:val="00620231"/>
    <w:rsid w:val="00620308"/>
    <w:rsid w:val="00620511"/>
    <w:rsid w:val="00620545"/>
    <w:rsid w:val="00620DDC"/>
    <w:rsid w:val="006212DB"/>
    <w:rsid w:val="006214F8"/>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BD1"/>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5E4"/>
    <w:rsid w:val="00636A77"/>
    <w:rsid w:val="00636CF5"/>
    <w:rsid w:val="00636E9E"/>
    <w:rsid w:val="006371EB"/>
    <w:rsid w:val="006373F2"/>
    <w:rsid w:val="0063780F"/>
    <w:rsid w:val="0063798E"/>
    <w:rsid w:val="00637E4E"/>
    <w:rsid w:val="0064014E"/>
    <w:rsid w:val="006404E9"/>
    <w:rsid w:val="00640537"/>
    <w:rsid w:val="00640D50"/>
    <w:rsid w:val="00640E5B"/>
    <w:rsid w:val="00641273"/>
    <w:rsid w:val="00641598"/>
    <w:rsid w:val="006415BD"/>
    <w:rsid w:val="00641AEB"/>
    <w:rsid w:val="00642174"/>
    <w:rsid w:val="006422C8"/>
    <w:rsid w:val="006422DD"/>
    <w:rsid w:val="00642AA3"/>
    <w:rsid w:val="00642E2E"/>
    <w:rsid w:val="00642F0B"/>
    <w:rsid w:val="006433AF"/>
    <w:rsid w:val="0064346D"/>
    <w:rsid w:val="006436FC"/>
    <w:rsid w:val="00644219"/>
    <w:rsid w:val="00644285"/>
    <w:rsid w:val="006443BD"/>
    <w:rsid w:val="00644A9C"/>
    <w:rsid w:val="00644EC7"/>
    <w:rsid w:val="00644ED2"/>
    <w:rsid w:val="00645458"/>
    <w:rsid w:val="00645634"/>
    <w:rsid w:val="0064563D"/>
    <w:rsid w:val="006457F2"/>
    <w:rsid w:val="0064617E"/>
    <w:rsid w:val="00646422"/>
    <w:rsid w:val="00646AC1"/>
    <w:rsid w:val="006474FD"/>
    <w:rsid w:val="00647874"/>
    <w:rsid w:val="00647898"/>
    <w:rsid w:val="00647B98"/>
    <w:rsid w:val="00647CEB"/>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C8"/>
    <w:rsid w:val="00653BE4"/>
    <w:rsid w:val="00653D43"/>
    <w:rsid w:val="0065413F"/>
    <w:rsid w:val="0065421B"/>
    <w:rsid w:val="00654254"/>
    <w:rsid w:val="006542E6"/>
    <w:rsid w:val="006544E2"/>
    <w:rsid w:val="00654938"/>
    <w:rsid w:val="00654A73"/>
    <w:rsid w:val="00654C7A"/>
    <w:rsid w:val="00654E54"/>
    <w:rsid w:val="006552CD"/>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4CA"/>
    <w:rsid w:val="0066084B"/>
    <w:rsid w:val="00660AAD"/>
    <w:rsid w:val="00660B3A"/>
    <w:rsid w:val="0066102B"/>
    <w:rsid w:val="0066177B"/>
    <w:rsid w:val="00661951"/>
    <w:rsid w:val="00661F4D"/>
    <w:rsid w:val="00662146"/>
    <w:rsid w:val="00662192"/>
    <w:rsid w:val="00662268"/>
    <w:rsid w:val="00662ADC"/>
    <w:rsid w:val="00662D5D"/>
    <w:rsid w:val="006633E3"/>
    <w:rsid w:val="00663420"/>
    <w:rsid w:val="006637BF"/>
    <w:rsid w:val="00663852"/>
    <w:rsid w:val="00663F48"/>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6C05"/>
    <w:rsid w:val="00667D2E"/>
    <w:rsid w:val="00667EA1"/>
    <w:rsid w:val="00670215"/>
    <w:rsid w:val="00670294"/>
    <w:rsid w:val="00670549"/>
    <w:rsid w:val="006705D8"/>
    <w:rsid w:val="00670841"/>
    <w:rsid w:val="00670B9D"/>
    <w:rsid w:val="006711B5"/>
    <w:rsid w:val="00671572"/>
    <w:rsid w:val="006717BD"/>
    <w:rsid w:val="00671882"/>
    <w:rsid w:val="00671A37"/>
    <w:rsid w:val="00671A4F"/>
    <w:rsid w:val="00671FAD"/>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1F2A"/>
    <w:rsid w:val="00682014"/>
    <w:rsid w:val="00682312"/>
    <w:rsid w:val="006823B1"/>
    <w:rsid w:val="0068297A"/>
    <w:rsid w:val="00682B26"/>
    <w:rsid w:val="00682CE5"/>
    <w:rsid w:val="00683E20"/>
    <w:rsid w:val="006840B1"/>
    <w:rsid w:val="00684670"/>
    <w:rsid w:val="00684703"/>
    <w:rsid w:val="00684741"/>
    <w:rsid w:val="00684765"/>
    <w:rsid w:val="00684823"/>
    <w:rsid w:val="0068499A"/>
    <w:rsid w:val="006851F4"/>
    <w:rsid w:val="0068530E"/>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3D7A"/>
    <w:rsid w:val="006940CE"/>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89"/>
    <w:rsid w:val="006971E7"/>
    <w:rsid w:val="006972A3"/>
    <w:rsid w:val="00697498"/>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6CD"/>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150"/>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6B4"/>
    <w:rsid w:val="006A791C"/>
    <w:rsid w:val="006A79D6"/>
    <w:rsid w:val="006A7C6F"/>
    <w:rsid w:val="006A7DF9"/>
    <w:rsid w:val="006A7F0F"/>
    <w:rsid w:val="006B0096"/>
    <w:rsid w:val="006B037B"/>
    <w:rsid w:val="006B03E3"/>
    <w:rsid w:val="006B10B7"/>
    <w:rsid w:val="006B1490"/>
    <w:rsid w:val="006B2B77"/>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186"/>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0D14"/>
    <w:rsid w:val="006D1115"/>
    <w:rsid w:val="006D1423"/>
    <w:rsid w:val="006D16EF"/>
    <w:rsid w:val="006D1716"/>
    <w:rsid w:val="006D1B91"/>
    <w:rsid w:val="006D200D"/>
    <w:rsid w:val="006D20CF"/>
    <w:rsid w:val="006D2329"/>
    <w:rsid w:val="006D24B4"/>
    <w:rsid w:val="006D24C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A34"/>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65D"/>
    <w:rsid w:val="006E1717"/>
    <w:rsid w:val="006E1C55"/>
    <w:rsid w:val="006E1CB9"/>
    <w:rsid w:val="006E1EBA"/>
    <w:rsid w:val="006E23CD"/>
    <w:rsid w:val="006E28BF"/>
    <w:rsid w:val="006E2A08"/>
    <w:rsid w:val="006E2AC1"/>
    <w:rsid w:val="006E3346"/>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D46"/>
    <w:rsid w:val="006E6FF6"/>
    <w:rsid w:val="006E72A4"/>
    <w:rsid w:val="006E741B"/>
    <w:rsid w:val="006E7751"/>
    <w:rsid w:val="006E79F3"/>
    <w:rsid w:val="006E7C97"/>
    <w:rsid w:val="006E7D95"/>
    <w:rsid w:val="006E7DB1"/>
    <w:rsid w:val="006E7FD2"/>
    <w:rsid w:val="006F0446"/>
    <w:rsid w:val="006F05AA"/>
    <w:rsid w:val="006F0835"/>
    <w:rsid w:val="006F0AEA"/>
    <w:rsid w:val="006F1322"/>
    <w:rsid w:val="006F15D0"/>
    <w:rsid w:val="006F1607"/>
    <w:rsid w:val="006F175A"/>
    <w:rsid w:val="006F192A"/>
    <w:rsid w:val="006F1C81"/>
    <w:rsid w:val="006F208F"/>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648"/>
    <w:rsid w:val="006F578A"/>
    <w:rsid w:val="006F5AB4"/>
    <w:rsid w:val="006F60B6"/>
    <w:rsid w:val="006F6642"/>
    <w:rsid w:val="006F6740"/>
    <w:rsid w:val="006F6D72"/>
    <w:rsid w:val="006F6FCA"/>
    <w:rsid w:val="006F7583"/>
    <w:rsid w:val="006F77F6"/>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EF"/>
    <w:rsid w:val="00705060"/>
    <w:rsid w:val="007055E4"/>
    <w:rsid w:val="00705720"/>
    <w:rsid w:val="00706D39"/>
    <w:rsid w:val="00706D6C"/>
    <w:rsid w:val="00707007"/>
    <w:rsid w:val="00707545"/>
    <w:rsid w:val="007075D8"/>
    <w:rsid w:val="00707826"/>
    <w:rsid w:val="00707904"/>
    <w:rsid w:val="007079F9"/>
    <w:rsid w:val="00707EBD"/>
    <w:rsid w:val="00710069"/>
    <w:rsid w:val="007102CC"/>
    <w:rsid w:val="00710700"/>
    <w:rsid w:val="00710ADE"/>
    <w:rsid w:val="007111DC"/>
    <w:rsid w:val="0071124F"/>
    <w:rsid w:val="0071159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DB5"/>
    <w:rsid w:val="007221ED"/>
    <w:rsid w:val="007225C3"/>
    <w:rsid w:val="00722700"/>
    <w:rsid w:val="00722E44"/>
    <w:rsid w:val="007233F5"/>
    <w:rsid w:val="0072394C"/>
    <w:rsid w:val="00723A92"/>
    <w:rsid w:val="00723CFD"/>
    <w:rsid w:val="00723FFF"/>
    <w:rsid w:val="00724362"/>
    <w:rsid w:val="007248DC"/>
    <w:rsid w:val="00724C08"/>
    <w:rsid w:val="00724D03"/>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5B"/>
    <w:rsid w:val="0073377F"/>
    <w:rsid w:val="00733CEA"/>
    <w:rsid w:val="00734209"/>
    <w:rsid w:val="007342C7"/>
    <w:rsid w:val="0073453F"/>
    <w:rsid w:val="00734833"/>
    <w:rsid w:val="00734F10"/>
    <w:rsid w:val="0073514D"/>
    <w:rsid w:val="00735553"/>
    <w:rsid w:val="007356F1"/>
    <w:rsid w:val="007357F0"/>
    <w:rsid w:val="00735A8A"/>
    <w:rsid w:val="00735C2E"/>
    <w:rsid w:val="00735CB6"/>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19EE"/>
    <w:rsid w:val="007423FE"/>
    <w:rsid w:val="00742DAD"/>
    <w:rsid w:val="00742F5B"/>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245"/>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3D6"/>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070"/>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706"/>
    <w:rsid w:val="0076684F"/>
    <w:rsid w:val="00766BA8"/>
    <w:rsid w:val="00766E01"/>
    <w:rsid w:val="00767221"/>
    <w:rsid w:val="0076734F"/>
    <w:rsid w:val="00767558"/>
    <w:rsid w:val="0076759E"/>
    <w:rsid w:val="00767707"/>
    <w:rsid w:val="00767A50"/>
    <w:rsid w:val="00767B6D"/>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6E3"/>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059"/>
    <w:rsid w:val="00785293"/>
    <w:rsid w:val="00785482"/>
    <w:rsid w:val="00785F2B"/>
    <w:rsid w:val="00786158"/>
    <w:rsid w:val="00786159"/>
    <w:rsid w:val="00786289"/>
    <w:rsid w:val="00786414"/>
    <w:rsid w:val="007866CD"/>
    <w:rsid w:val="00786AAB"/>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35"/>
    <w:rsid w:val="00791BBE"/>
    <w:rsid w:val="0079226A"/>
    <w:rsid w:val="00792A2D"/>
    <w:rsid w:val="00792F8E"/>
    <w:rsid w:val="007930E3"/>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468"/>
    <w:rsid w:val="007A1A14"/>
    <w:rsid w:val="007A1D4C"/>
    <w:rsid w:val="007A20B6"/>
    <w:rsid w:val="007A2C2C"/>
    <w:rsid w:val="007A2EC8"/>
    <w:rsid w:val="007A320A"/>
    <w:rsid w:val="007A34DF"/>
    <w:rsid w:val="007A3614"/>
    <w:rsid w:val="007A3DA8"/>
    <w:rsid w:val="007A3DDA"/>
    <w:rsid w:val="007A3E61"/>
    <w:rsid w:val="007A442A"/>
    <w:rsid w:val="007A4FBD"/>
    <w:rsid w:val="007A5283"/>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28D"/>
    <w:rsid w:val="007B24C2"/>
    <w:rsid w:val="007B28BF"/>
    <w:rsid w:val="007B2AC5"/>
    <w:rsid w:val="007B2F31"/>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473"/>
    <w:rsid w:val="007B7680"/>
    <w:rsid w:val="007B787C"/>
    <w:rsid w:val="007B795B"/>
    <w:rsid w:val="007C0937"/>
    <w:rsid w:val="007C12D0"/>
    <w:rsid w:val="007C1746"/>
    <w:rsid w:val="007C1993"/>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DA9"/>
    <w:rsid w:val="007D1E4B"/>
    <w:rsid w:val="007D2084"/>
    <w:rsid w:val="007D2CCE"/>
    <w:rsid w:val="007D3EF8"/>
    <w:rsid w:val="007D3F5B"/>
    <w:rsid w:val="007D426A"/>
    <w:rsid w:val="007D46AA"/>
    <w:rsid w:val="007D4718"/>
    <w:rsid w:val="007D4BEF"/>
    <w:rsid w:val="007D4F07"/>
    <w:rsid w:val="007D55FF"/>
    <w:rsid w:val="007D58E5"/>
    <w:rsid w:val="007D5991"/>
    <w:rsid w:val="007D5B88"/>
    <w:rsid w:val="007D5E13"/>
    <w:rsid w:val="007D606B"/>
    <w:rsid w:val="007D632A"/>
    <w:rsid w:val="007D644F"/>
    <w:rsid w:val="007D675C"/>
    <w:rsid w:val="007D6B45"/>
    <w:rsid w:val="007D6C31"/>
    <w:rsid w:val="007D7239"/>
    <w:rsid w:val="007D74BD"/>
    <w:rsid w:val="007D7752"/>
    <w:rsid w:val="007D7B7C"/>
    <w:rsid w:val="007D7F3C"/>
    <w:rsid w:val="007E0893"/>
    <w:rsid w:val="007E09E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0C9"/>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3"/>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C6"/>
    <w:rsid w:val="008073A1"/>
    <w:rsid w:val="00807491"/>
    <w:rsid w:val="00807526"/>
    <w:rsid w:val="00807AD2"/>
    <w:rsid w:val="00807AE3"/>
    <w:rsid w:val="00807F5C"/>
    <w:rsid w:val="00807FF6"/>
    <w:rsid w:val="00810050"/>
    <w:rsid w:val="008105BE"/>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102"/>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F5A"/>
    <w:rsid w:val="0082731D"/>
    <w:rsid w:val="008278B8"/>
    <w:rsid w:val="00827AD2"/>
    <w:rsid w:val="00827C49"/>
    <w:rsid w:val="00827F79"/>
    <w:rsid w:val="00827FC4"/>
    <w:rsid w:val="008303CA"/>
    <w:rsid w:val="00830606"/>
    <w:rsid w:val="008306C4"/>
    <w:rsid w:val="00830746"/>
    <w:rsid w:val="0083092C"/>
    <w:rsid w:val="00830958"/>
    <w:rsid w:val="00830B6F"/>
    <w:rsid w:val="00830DC9"/>
    <w:rsid w:val="00831241"/>
    <w:rsid w:val="008313E3"/>
    <w:rsid w:val="00831757"/>
    <w:rsid w:val="008317EC"/>
    <w:rsid w:val="00831C1D"/>
    <w:rsid w:val="00831EA7"/>
    <w:rsid w:val="008321A6"/>
    <w:rsid w:val="00832950"/>
    <w:rsid w:val="00832BB1"/>
    <w:rsid w:val="00832ED5"/>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0D4C"/>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377"/>
    <w:rsid w:val="00846779"/>
    <w:rsid w:val="00846B7F"/>
    <w:rsid w:val="00846CD5"/>
    <w:rsid w:val="00846E93"/>
    <w:rsid w:val="008470F7"/>
    <w:rsid w:val="008471C9"/>
    <w:rsid w:val="008474D3"/>
    <w:rsid w:val="00847567"/>
    <w:rsid w:val="00847832"/>
    <w:rsid w:val="00847A1F"/>
    <w:rsid w:val="00850014"/>
    <w:rsid w:val="00850337"/>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03"/>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01"/>
    <w:rsid w:val="00863959"/>
    <w:rsid w:val="00863A68"/>
    <w:rsid w:val="00863EFA"/>
    <w:rsid w:val="008640E5"/>
    <w:rsid w:val="0086411C"/>
    <w:rsid w:val="00864260"/>
    <w:rsid w:val="008642D6"/>
    <w:rsid w:val="00864B69"/>
    <w:rsid w:val="00864B72"/>
    <w:rsid w:val="00864CF3"/>
    <w:rsid w:val="00865088"/>
    <w:rsid w:val="0086515E"/>
    <w:rsid w:val="008653D0"/>
    <w:rsid w:val="00865957"/>
    <w:rsid w:val="0086639A"/>
    <w:rsid w:val="0086673A"/>
    <w:rsid w:val="00866A4B"/>
    <w:rsid w:val="008671FF"/>
    <w:rsid w:val="00867378"/>
    <w:rsid w:val="00867491"/>
    <w:rsid w:val="00867BBC"/>
    <w:rsid w:val="00867BD8"/>
    <w:rsid w:val="00867C69"/>
    <w:rsid w:val="00867D82"/>
    <w:rsid w:val="008703FC"/>
    <w:rsid w:val="0087098E"/>
    <w:rsid w:val="00870DF3"/>
    <w:rsid w:val="0087109B"/>
    <w:rsid w:val="008712DE"/>
    <w:rsid w:val="00871AD6"/>
    <w:rsid w:val="00871FEA"/>
    <w:rsid w:val="008724C4"/>
    <w:rsid w:val="0087285C"/>
    <w:rsid w:val="0087298D"/>
    <w:rsid w:val="00872E94"/>
    <w:rsid w:val="008730D2"/>
    <w:rsid w:val="0087322A"/>
    <w:rsid w:val="00873BE9"/>
    <w:rsid w:val="00873D5A"/>
    <w:rsid w:val="00874013"/>
    <w:rsid w:val="00874B12"/>
    <w:rsid w:val="00874C1B"/>
    <w:rsid w:val="00874C80"/>
    <w:rsid w:val="00874F18"/>
    <w:rsid w:val="00874F8B"/>
    <w:rsid w:val="008750F3"/>
    <w:rsid w:val="00875538"/>
    <w:rsid w:val="00875AE6"/>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981"/>
    <w:rsid w:val="00880D73"/>
    <w:rsid w:val="00880E74"/>
    <w:rsid w:val="008811F4"/>
    <w:rsid w:val="008817EE"/>
    <w:rsid w:val="00881838"/>
    <w:rsid w:val="0088194D"/>
    <w:rsid w:val="00881E70"/>
    <w:rsid w:val="00881FF2"/>
    <w:rsid w:val="00882863"/>
    <w:rsid w:val="00882992"/>
    <w:rsid w:val="008831D3"/>
    <w:rsid w:val="008839D2"/>
    <w:rsid w:val="00884056"/>
    <w:rsid w:val="0088422F"/>
    <w:rsid w:val="00884255"/>
    <w:rsid w:val="00884326"/>
    <w:rsid w:val="008844C4"/>
    <w:rsid w:val="00884CC1"/>
    <w:rsid w:val="00884E66"/>
    <w:rsid w:val="00884EB2"/>
    <w:rsid w:val="0088566F"/>
    <w:rsid w:val="008856A3"/>
    <w:rsid w:val="0088590C"/>
    <w:rsid w:val="00885C1C"/>
    <w:rsid w:val="00885EC1"/>
    <w:rsid w:val="0088617D"/>
    <w:rsid w:val="008861B0"/>
    <w:rsid w:val="008866E3"/>
    <w:rsid w:val="00886F21"/>
    <w:rsid w:val="00886F50"/>
    <w:rsid w:val="0088718B"/>
    <w:rsid w:val="00887238"/>
    <w:rsid w:val="00887575"/>
    <w:rsid w:val="008876A9"/>
    <w:rsid w:val="00887736"/>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A9B"/>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5F7"/>
    <w:rsid w:val="008A46F4"/>
    <w:rsid w:val="008A4C20"/>
    <w:rsid w:val="008A4DCA"/>
    <w:rsid w:val="008A50FD"/>
    <w:rsid w:val="008A5259"/>
    <w:rsid w:val="008A52FC"/>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1E"/>
    <w:rsid w:val="008A7E60"/>
    <w:rsid w:val="008B03BF"/>
    <w:rsid w:val="008B05FD"/>
    <w:rsid w:val="008B0736"/>
    <w:rsid w:val="008B0D58"/>
    <w:rsid w:val="008B0E5A"/>
    <w:rsid w:val="008B1039"/>
    <w:rsid w:val="008B1294"/>
    <w:rsid w:val="008B157E"/>
    <w:rsid w:val="008B1586"/>
    <w:rsid w:val="008B17EB"/>
    <w:rsid w:val="008B1940"/>
    <w:rsid w:val="008B19F3"/>
    <w:rsid w:val="008B20F7"/>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777"/>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6FA4"/>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37E"/>
    <w:rsid w:val="008D3914"/>
    <w:rsid w:val="008D3D9C"/>
    <w:rsid w:val="008D45DD"/>
    <w:rsid w:val="008D5323"/>
    <w:rsid w:val="008D55AC"/>
    <w:rsid w:val="008D5810"/>
    <w:rsid w:val="008D5D0C"/>
    <w:rsid w:val="008D613E"/>
    <w:rsid w:val="008D6240"/>
    <w:rsid w:val="008D65C0"/>
    <w:rsid w:val="008D7EEA"/>
    <w:rsid w:val="008E04A9"/>
    <w:rsid w:val="008E07C0"/>
    <w:rsid w:val="008E07DD"/>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DC"/>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55E"/>
    <w:rsid w:val="008F183A"/>
    <w:rsid w:val="008F1BEB"/>
    <w:rsid w:val="008F1F55"/>
    <w:rsid w:val="008F214D"/>
    <w:rsid w:val="008F22FD"/>
    <w:rsid w:val="008F2ED4"/>
    <w:rsid w:val="008F304D"/>
    <w:rsid w:val="008F33A1"/>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5D"/>
    <w:rsid w:val="00902963"/>
    <w:rsid w:val="0090297A"/>
    <w:rsid w:val="00902D2C"/>
    <w:rsid w:val="00902F09"/>
    <w:rsid w:val="0090302A"/>
    <w:rsid w:val="00903068"/>
    <w:rsid w:val="00903251"/>
    <w:rsid w:val="0090337B"/>
    <w:rsid w:val="009038E6"/>
    <w:rsid w:val="00903D02"/>
    <w:rsid w:val="00903D0C"/>
    <w:rsid w:val="00903DA4"/>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BDD"/>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5AE"/>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5A"/>
    <w:rsid w:val="009170A4"/>
    <w:rsid w:val="009176C5"/>
    <w:rsid w:val="00917C56"/>
    <w:rsid w:val="009200B6"/>
    <w:rsid w:val="009201E0"/>
    <w:rsid w:val="0092040A"/>
    <w:rsid w:val="00920E12"/>
    <w:rsid w:val="00921128"/>
    <w:rsid w:val="009213AA"/>
    <w:rsid w:val="0092169A"/>
    <w:rsid w:val="009217A6"/>
    <w:rsid w:val="00921865"/>
    <w:rsid w:val="009218B7"/>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C99"/>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B4"/>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38A"/>
    <w:rsid w:val="00944488"/>
    <w:rsid w:val="00944C66"/>
    <w:rsid w:val="00944FA6"/>
    <w:rsid w:val="00945969"/>
    <w:rsid w:val="00945D0A"/>
    <w:rsid w:val="00945E6A"/>
    <w:rsid w:val="00945E7D"/>
    <w:rsid w:val="0094608E"/>
    <w:rsid w:val="009465B4"/>
    <w:rsid w:val="0094663B"/>
    <w:rsid w:val="0094665B"/>
    <w:rsid w:val="009466BF"/>
    <w:rsid w:val="00946708"/>
    <w:rsid w:val="00946B86"/>
    <w:rsid w:val="00947093"/>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E43"/>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F2"/>
    <w:rsid w:val="0096141F"/>
    <w:rsid w:val="00961483"/>
    <w:rsid w:val="009619D9"/>
    <w:rsid w:val="00961D6F"/>
    <w:rsid w:val="00962218"/>
    <w:rsid w:val="0096225B"/>
    <w:rsid w:val="00962D58"/>
    <w:rsid w:val="00962D6A"/>
    <w:rsid w:val="00962E59"/>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63B"/>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5FC5"/>
    <w:rsid w:val="009763B1"/>
    <w:rsid w:val="00976404"/>
    <w:rsid w:val="009764B6"/>
    <w:rsid w:val="009766BC"/>
    <w:rsid w:val="00977257"/>
    <w:rsid w:val="00977346"/>
    <w:rsid w:val="009773CF"/>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74D"/>
    <w:rsid w:val="00983958"/>
    <w:rsid w:val="00983BFE"/>
    <w:rsid w:val="00983F4A"/>
    <w:rsid w:val="009840D0"/>
    <w:rsid w:val="009843EC"/>
    <w:rsid w:val="00984667"/>
    <w:rsid w:val="009853AC"/>
    <w:rsid w:val="00985670"/>
    <w:rsid w:val="0098616D"/>
    <w:rsid w:val="00986546"/>
    <w:rsid w:val="009867F9"/>
    <w:rsid w:val="00986B9F"/>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83D"/>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5A"/>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3F1"/>
    <w:rsid w:val="009A6462"/>
    <w:rsid w:val="009A6796"/>
    <w:rsid w:val="009A690A"/>
    <w:rsid w:val="009A6AE2"/>
    <w:rsid w:val="009A6EC1"/>
    <w:rsid w:val="009A733E"/>
    <w:rsid w:val="009A7DA2"/>
    <w:rsid w:val="009A7E75"/>
    <w:rsid w:val="009B00A3"/>
    <w:rsid w:val="009B01D0"/>
    <w:rsid w:val="009B0571"/>
    <w:rsid w:val="009B05E1"/>
    <w:rsid w:val="009B0812"/>
    <w:rsid w:val="009B0952"/>
    <w:rsid w:val="009B0ABC"/>
    <w:rsid w:val="009B0BF2"/>
    <w:rsid w:val="009B127C"/>
    <w:rsid w:val="009B161E"/>
    <w:rsid w:val="009B1F55"/>
    <w:rsid w:val="009B2058"/>
    <w:rsid w:val="009B21FF"/>
    <w:rsid w:val="009B23D9"/>
    <w:rsid w:val="009B2795"/>
    <w:rsid w:val="009B2CB4"/>
    <w:rsid w:val="009B3A2C"/>
    <w:rsid w:val="009B3B4D"/>
    <w:rsid w:val="009B3ED4"/>
    <w:rsid w:val="009B4A1B"/>
    <w:rsid w:val="009B4A43"/>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1E4A"/>
    <w:rsid w:val="009C1EDF"/>
    <w:rsid w:val="009C20C0"/>
    <w:rsid w:val="009C20C6"/>
    <w:rsid w:val="009C21CC"/>
    <w:rsid w:val="009C22B4"/>
    <w:rsid w:val="009C24FA"/>
    <w:rsid w:val="009C257C"/>
    <w:rsid w:val="009C2665"/>
    <w:rsid w:val="009C32C6"/>
    <w:rsid w:val="009C38F4"/>
    <w:rsid w:val="009C3C5B"/>
    <w:rsid w:val="009C4047"/>
    <w:rsid w:val="009C44C7"/>
    <w:rsid w:val="009C48A3"/>
    <w:rsid w:val="009C4901"/>
    <w:rsid w:val="009C4A9F"/>
    <w:rsid w:val="009C4C25"/>
    <w:rsid w:val="009C4E33"/>
    <w:rsid w:val="009C521B"/>
    <w:rsid w:val="009C5222"/>
    <w:rsid w:val="009C5872"/>
    <w:rsid w:val="009C5A75"/>
    <w:rsid w:val="009C5D51"/>
    <w:rsid w:val="009C5F31"/>
    <w:rsid w:val="009C646D"/>
    <w:rsid w:val="009C66C8"/>
    <w:rsid w:val="009C672B"/>
    <w:rsid w:val="009C675D"/>
    <w:rsid w:val="009C7737"/>
    <w:rsid w:val="009C7893"/>
    <w:rsid w:val="009C7E11"/>
    <w:rsid w:val="009D0A9D"/>
    <w:rsid w:val="009D0B41"/>
    <w:rsid w:val="009D0E15"/>
    <w:rsid w:val="009D0F82"/>
    <w:rsid w:val="009D11FF"/>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767"/>
    <w:rsid w:val="009D687E"/>
    <w:rsid w:val="009D68F5"/>
    <w:rsid w:val="009D6997"/>
    <w:rsid w:val="009D6E00"/>
    <w:rsid w:val="009D6E6F"/>
    <w:rsid w:val="009D71C0"/>
    <w:rsid w:val="009D7848"/>
    <w:rsid w:val="009D7CB4"/>
    <w:rsid w:val="009D7CC6"/>
    <w:rsid w:val="009E021F"/>
    <w:rsid w:val="009E030C"/>
    <w:rsid w:val="009E09F1"/>
    <w:rsid w:val="009E0CCC"/>
    <w:rsid w:val="009E1295"/>
    <w:rsid w:val="009E1800"/>
    <w:rsid w:val="009E1908"/>
    <w:rsid w:val="009E19CE"/>
    <w:rsid w:val="009E1C7D"/>
    <w:rsid w:val="009E1D96"/>
    <w:rsid w:val="009E1EF8"/>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EAA"/>
    <w:rsid w:val="009F0FF0"/>
    <w:rsid w:val="009F10EB"/>
    <w:rsid w:val="009F1472"/>
    <w:rsid w:val="009F1722"/>
    <w:rsid w:val="009F18BA"/>
    <w:rsid w:val="009F1BB2"/>
    <w:rsid w:val="009F1CBB"/>
    <w:rsid w:val="009F1D3F"/>
    <w:rsid w:val="009F2200"/>
    <w:rsid w:val="009F22BA"/>
    <w:rsid w:val="009F2472"/>
    <w:rsid w:val="009F24A4"/>
    <w:rsid w:val="009F24C2"/>
    <w:rsid w:val="009F24D9"/>
    <w:rsid w:val="009F2A01"/>
    <w:rsid w:val="009F2AD3"/>
    <w:rsid w:val="009F2CF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69D"/>
    <w:rsid w:val="009F7867"/>
    <w:rsid w:val="009F794D"/>
    <w:rsid w:val="009F796E"/>
    <w:rsid w:val="009F7F92"/>
    <w:rsid w:val="00A004EE"/>
    <w:rsid w:val="00A0095B"/>
    <w:rsid w:val="00A00B55"/>
    <w:rsid w:val="00A015B5"/>
    <w:rsid w:val="00A01666"/>
    <w:rsid w:val="00A01895"/>
    <w:rsid w:val="00A01AE7"/>
    <w:rsid w:val="00A021CF"/>
    <w:rsid w:val="00A022F7"/>
    <w:rsid w:val="00A02862"/>
    <w:rsid w:val="00A02CBD"/>
    <w:rsid w:val="00A0369E"/>
    <w:rsid w:val="00A03C02"/>
    <w:rsid w:val="00A03D98"/>
    <w:rsid w:val="00A03DA3"/>
    <w:rsid w:val="00A03F1F"/>
    <w:rsid w:val="00A03F4B"/>
    <w:rsid w:val="00A044C5"/>
    <w:rsid w:val="00A045FA"/>
    <w:rsid w:val="00A04E55"/>
    <w:rsid w:val="00A04EDE"/>
    <w:rsid w:val="00A050E1"/>
    <w:rsid w:val="00A05983"/>
    <w:rsid w:val="00A059DB"/>
    <w:rsid w:val="00A05BD0"/>
    <w:rsid w:val="00A05EC1"/>
    <w:rsid w:val="00A05F51"/>
    <w:rsid w:val="00A060E0"/>
    <w:rsid w:val="00A06442"/>
    <w:rsid w:val="00A065EC"/>
    <w:rsid w:val="00A06841"/>
    <w:rsid w:val="00A06880"/>
    <w:rsid w:val="00A0723E"/>
    <w:rsid w:val="00A07749"/>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3B7"/>
    <w:rsid w:val="00A175C5"/>
    <w:rsid w:val="00A175CA"/>
    <w:rsid w:val="00A1769D"/>
    <w:rsid w:val="00A1794F"/>
    <w:rsid w:val="00A20021"/>
    <w:rsid w:val="00A20030"/>
    <w:rsid w:val="00A200CC"/>
    <w:rsid w:val="00A201B1"/>
    <w:rsid w:val="00A2038E"/>
    <w:rsid w:val="00A20667"/>
    <w:rsid w:val="00A2083F"/>
    <w:rsid w:val="00A21165"/>
    <w:rsid w:val="00A21471"/>
    <w:rsid w:val="00A216F9"/>
    <w:rsid w:val="00A21B50"/>
    <w:rsid w:val="00A21F8B"/>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D9"/>
    <w:rsid w:val="00A27A1B"/>
    <w:rsid w:val="00A3039E"/>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AB9"/>
    <w:rsid w:val="00A32DE3"/>
    <w:rsid w:val="00A32EAF"/>
    <w:rsid w:val="00A32F1B"/>
    <w:rsid w:val="00A33026"/>
    <w:rsid w:val="00A33091"/>
    <w:rsid w:val="00A3313D"/>
    <w:rsid w:val="00A331F5"/>
    <w:rsid w:val="00A33607"/>
    <w:rsid w:val="00A336A5"/>
    <w:rsid w:val="00A338EF"/>
    <w:rsid w:val="00A33947"/>
    <w:rsid w:val="00A341BA"/>
    <w:rsid w:val="00A34321"/>
    <w:rsid w:val="00A34384"/>
    <w:rsid w:val="00A3489F"/>
    <w:rsid w:val="00A34C2C"/>
    <w:rsid w:val="00A35858"/>
    <w:rsid w:val="00A35B51"/>
    <w:rsid w:val="00A35DF9"/>
    <w:rsid w:val="00A36028"/>
    <w:rsid w:val="00A3614E"/>
    <w:rsid w:val="00A36275"/>
    <w:rsid w:val="00A36983"/>
    <w:rsid w:val="00A369D4"/>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1C"/>
    <w:rsid w:val="00A44FB5"/>
    <w:rsid w:val="00A4562F"/>
    <w:rsid w:val="00A4579D"/>
    <w:rsid w:val="00A45828"/>
    <w:rsid w:val="00A45A9D"/>
    <w:rsid w:val="00A45AB6"/>
    <w:rsid w:val="00A45C54"/>
    <w:rsid w:val="00A45D8C"/>
    <w:rsid w:val="00A4652A"/>
    <w:rsid w:val="00A46582"/>
    <w:rsid w:val="00A46802"/>
    <w:rsid w:val="00A4691B"/>
    <w:rsid w:val="00A46A3D"/>
    <w:rsid w:val="00A46A49"/>
    <w:rsid w:val="00A46AE5"/>
    <w:rsid w:val="00A46B45"/>
    <w:rsid w:val="00A46CBB"/>
    <w:rsid w:val="00A47243"/>
    <w:rsid w:val="00A47639"/>
    <w:rsid w:val="00A477DD"/>
    <w:rsid w:val="00A47828"/>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B55"/>
    <w:rsid w:val="00A52D21"/>
    <w:rsid w:val="00A5307C"/>
    <w:rsid w:val="00A531AF"/>
    <w:rsid w:val="00A53295"/>
    <w:rsid w:val="00A53372"/>
    <w:rsid w:val="00A5342B"/>
    <w:rsid w:val="00A53BAA"/>
    <w:rsid w:val="00A53D81"/>
    <w:rsid w:val="00A53F03"/>
    <w:rsid w:val="00A54386"/>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13"/>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F5C"/>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5DE"/>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CAD"/>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77"/>
    <w:rsid w:val="00A73886"/>
    <w:rsid w:val="00A7393D"/>
    <w:rsid w:val="00A73C9F"/>
    <w:rsid w:val="00A74239"/>
    <w:rsid w:val="00A747B1"/>
    <w:rsid w:val="00A752A7"/>
    <w:rsid w:val="00A752B5"/>
    <w:rsid w:val="00A754B6"/>
    <w:rsid w:val="00A754CE"/>
    <w:rsid w:val="00A75A10"/>
    <w:rsid w:val="00A762D9"/>
    <w:rsid w:val="00A7633A"/>
    <w:rsid w:val="00A7646A"/>
    <w:rsid w:val="00A767D7"/>
    <w:rsid w:val="00A7680C"/>
    <w:rsid w:val="00A76B6A"/>
    <w:rsid w:val="00A76D1C"/>
    <w:rsid w:val="00A76D5D"/>
    <w:rsid w:val="00A76D8A"/>
    <w:rsid w:val="00A76EC8"/>
    <w:rsid w:val="00A7758E"/>
    <w:rsid w:val="00A775B6"/>
    <w:rsid w:val="00A777D7"/>
    <w:rsid w:val="00A779B1"/>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62D"/>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A7A"/>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3A5"/>
    <w:rsid w:val="00AA485B"/>
    <w:rsid w:val="00AA4927"/>
    <w:rsid w:val="00AA49A0"/>
    <w:rsid w:val="00AA4FAE"/>
    <w:rsid w:val="00AA4FC3"/>
    <w:rsid w:val="00AA522A"/>
    <w:rsid w:val="00AA54F4"/>
    <w:rsid w:val="00AA568F"/>
    <w:rsid w:val="00AA587E"/>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DE"/>
    <w:rsid w:val="00AB0BA1"/>
    <w:rsid w:val="00AB0FC3"/>
    <w:rsid w:val="00AB1219"/>
    <w:rsid w:val="00AB19C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4F"/>
    <w:rsid w:val="00AB6298"/>
    <w:rsid w:val="00AB642E"/>
    <w:rsid w:val="00AB65C3"/>
    <w:rsid w:val="00AB67D8"/>
    <w:rsid w:val="00AB6C98"/>
    <w:rsid w:val="00AB6CA7"/>
    <w:rsid w:val="00AB6FC9"/>
    <w:rsid w:val="00AB7731"/>
    <w:rsid w:val="00AC0369"/>
    <w:rsid w:val="00AC0392"/>
    <w:rsid w:val="00AC0557"/>
    <w:rsid w:val="00AC13B9"/>
    <w:rsid w:val="00AC15F3"/>
    <w:rsid w:val="00AC172A"/>
    <w:rsid w:val="00AC1741"/>
    <w:rsid w:val="00AC1C8D"/>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7A6"/>
    <w:rsid w:val="00AC68AD"/>
    <w:rsid w:val="00AC68EA"/>
    <w:rsid w:val="00AC6B72"/>
    <w:rsid w:val="00AC6C33"/>
    <w:rsid w:val="00AC6D41"/>
    <w:rsid w:val="00AC6DD5"/>
    <w:rsid w:val="00AC6E2D"/>
    <w:rsid w:val="00AC728E"/>
    <w:rsid w:val="00AC7C7B"/>
    <w:rsid w:val="00AC7D0C"/>
    <w:rsid w:val="00AC7ECE"/>
    <w:rsid w:val="00AC7EDD"/>
    <w:rsid w:val="00AD0BF4"/>
    <w:rsid w:val="00AD0F0B"/>
    <w:rsid w:val="00AD1783"/>
    <w:rsid w:val="00AD1844"/>
    <w:rsid w:val="00AD195C"/>
    <w:rsid w:val="00AD199C"/>
    <w:rsid w:val="00AD1AD1"/>
    <w:rsid w:val="00AD1C47"/>
    <w:rsid w:val="00AD1C8C"/>
    <w:rsid w:val="00AD1D21"/>
    <w:rsid w:val="00AD213F"/>
    <w:rsid w:val="00AD2199"/>
    <w:rsid w:val="00AD29E4"/>
    <w:rsid w:val="00AD2A87"/>
    <w:rsid w:val="00AD2B4F"/>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F"/>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B2C"/>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1C6F"/>
    <w:rsid w:val="00AF2158"/>
    <w:rsid w:val="00AF22EF"/>
    <w:rsid w:val="00AF29A7"/>
    <w:rsid w:val="00AF3313"/>
    <w:rsid w:val="00AF34B8"/>
    <w:rsid w:val="00AF3C53"/>
    <w:rsid w:val="00AF3DB9"/>
    <w:rsid w:val="00AF3F7B"/>
    <w:rsid w:val="00AF4322"/>
    <w:rsid w:val="00AF49A6"/>
    <w:rsid w:val="00AF5164"/>
    <w:rsid w:val="00AF57C1"/>
    <w:rsid w:val="00AF58BA"/>
    <w:rsid w:val="00AF5935"/>
    <w:rsid w:val="00AF5B93"/>
    <w:rsid w:val="00AF5D9F"/>
    <w:rsid w:val="00AF60E6"/>
    <w:rsid w:val="00AF65E0"/>
    <w:rsid w:val="00AF665A"/>
    <w:rsid w:val="00AF6A97"/>
    <w:rsid w:val="00AF6B13"/>
    <w:rsid w:val="00AF6B29"/>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E4"/>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CB3"/>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5EB8"/>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9BA"/>
    <w:rsid w:val="00B22A7E"/>
    <w:rsid w:val="00B22C12"/>
    <w:rsid w:val="00B230CB"/>
    <w:rsid w:val="00B233A3"/>
    <w:rsid w:val="00B23B5E"/>
    <w:rsid w:val="00B23B8E"/>
    <w:rsid w:val="00B23BBA"/>
    <w:rsid w:val="00B23E15"/>
    <w:rsid w:val="00B2419B"/>
    <w:rsid w:val="00B241A5"/>
    <w:rsid w:val="00B24576"/>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607"/>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839"/>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33"/>
    <w:rsid w:val="00B510B2"/>
    <w:rsid w:val="00B518ED"/>
    <w:rsid w:val="00B51A8B"/>
    <w:rsid w:val="00B51CBA"/>
    <w:rsid w:val="00B51D56"/>
    <w:rsid w:val="00B523A6"/>
    <w:rsid w:val="00B525BE"/>
    <w:rsid w:val="00B52826"/>
    <w:rsid w:val="00B52870"/>
    <w:rsid w:val="00B52975"/>
    <w:rsid w:val="00B529AD"/>
    <w:rsid w:val="00B529C9"/>
    <w:rsid w:val="00B52A1F"/>
    <w:rsid w:val="00B52C79"/>
    <w:rsid w:val="00B52D91"/>
    <w:rsid w:val="00B52F6C"/>
    <w:rsid w:val="00B5334B"/>
    <w:rsid w:val="00B5343B"/>
    <w:rsid w:val="00B53511"/>
    <w:rsid w:val="00B5366D"/>
    <w:rsid w:val="00B53681"/>
    <w:rsid w:val="00B5376D"/>
    <w:rsid w:val="00B53B5F"/>
    <w:rsid w:val="00B53E4B"/>
    <w:rsid w:val="00B53F66"/>
    <w:rsid w:val="00B5424D"/>
    <w:rsid w:val="00B54982"/>
    <w:rsid w:val="00B54EAD"/>
    <w:rsid w:val="00B54EB5"/>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5FCA"/>
    <w:rsid w:val="00B6632F"/>
    <w:rsid w:val="00B663D0"/>
    <w:rsid w:val="00B667EC"/>
    <w:rsid w:val="00B669B3"/>
    <w:rsid w:val="00B66DC7"/>
    <w:rsid w:val="00B670C0"/>
    <w:rsid w:val="00B67144"/>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A21"/>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1B3"/>
    <w:rsid w:val="00B872A0"/>
    <w:rsid w:val="00B877B8"/>
    <w:rsid w:val="00B87BCB"/>
    <w:rsid w:val="00B87DE3"/>
    <w:rsid w:val="00B901E8"/>
    <w:rsid w:val="00B902C0"/>
    <w:rsid w:val="00B90545"/>
    <w:rsid w:val="00B90A49"/>
    <w:rsid w:val="00B911E2"/>
    <w:rsid w:val="00B917C9"/>
    <w:rsid w:val="00B9206F"/>
    <w:rsid w:val="00B920F3"/>
    <w:rsid w:val="00B92918"/>
    <w:rsid w:val="00B92D46"/>
    <w:rsid w:val="00B92E71"/>
    <w:rsid w:val="00B93225"/>
    <w:rsid w:val="00B93AB0"/>
    <w:rsid w:val="00B93C41"/>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9C6"/>
    <w:rsid w:val="00B97B7E"/>
    <w:rsid w:val="00B97DF4"/>
    <w:rsid w:val="00BA0060"/>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5DD"/>
    <w:rsid w:val="00BA466A"/>
    <w:rsid w:val="00BA466D"/>
    <w:rsid w:val="00BA4A8C"/>
    <w:rsid w:val="00BA4F73"/>
    <w:rsid w:val="00BA5697"/>
    <w:rsid w:val="00BA5807"/>
    <w:rsid w:val="00BA59C2"/>
    <w:rsid w:val="00BA5A84"/>
    <w:rsid w:val="00BA5BDE"/>
    <w:rsid w:val="00BA5F15"/>
    <w:rsid w:val="00BA6022"/>
    <w:rsid w:val="00BA616D"/>
    <w:rsid w:val="00BA6204"/>
    <w:rsid w:val="00BA6207"/>
    <w:rsid w:val="00BA63F4"/>
    <w:rsid w:val="00BA68F6"/>
    <w:rsid w:val="00BA6949"/>
    <w:rsid w:val="00BA705D"/>
    <w:rsid w:val="00BA70A9"/>
    <w:rsid w:val="00BA7842"/>
    <w:rsid w:val="00BA7CE7"/>
    <w:rsid w:val="00BB0067"/>
    <w:rsid w:val="00BB00DE"/>
    <w:rsid w:val="00BB072E"/>
    <w:rsid w:val="00BB0773"/>
    <w:rsid w:val="00BB081A"/>
    <w:rsid w:val="00BB08A8"/>
    <w:rsid w:val="00BB09E7"/>
    <w:rsid w:val="00BB1215"/>
    <w:rsid w:val="00BB1245"/>
    <w:rsid w:val="00BB12FC"/>
    <w:rsid w:val="00BB15AB"/>
    <w:rsid w:val="00BB15F1"/>
    <w:rsid w:val="00BB162D"/>
    <w:rsid w:val="00BB1906"/>
    <w:rsid w:val="00BB1BBD"/>
    <w:rsid w:val="00BB2271"/>
    <w:rsid w:val="00BB2788"/>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AB"/>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0F2"/>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575"/>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B6"/>
    <w:rsid w:val="00BE7715"/>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1F4"/>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D2B"/>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26E"/>
    <w:rsid w:val="00C063A8"/>
    <w:rsid w:val="00C06407"/>
    <w:rsid w:val="00C067F9"/>
    <w:rsid w:val="00C06E91"/>
    <w:rsid w:val="00C07324"/>
    <w:rsid w:val="00C07789"/>
    <w:rsid w:val="00C07812"/>
    <w:rsid w:val="00C07835"/>
    <w:rsid w:val="00C07A37"/>
    <w:rsid w:val="00C07E2D"/>
    <w:rsid w:val="00C10DC7"/>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C14"/>
    <w:rsid w:val="00C24116"/>
    <w:rsid w:val="00C24344"/>
    <w:rsid w:val="00C247C4"/>
    <w:rsid w:val="00C247FD"/>
    <w:rsid w:val="00C24A07"/>
    <w:rsid w:val="00C24AAF"/>
    <w:rsid w:val="00C24B64"/>
    <w:rsid w:val="00C24EF5"/>
    <w:rsid w:val="00C2561D"/>
    <w:rsid w:val="00C258B1"/>
    <w:rsid w:val="00C2626E"/>
    <w:rsid w:val="00C2657B"/>
    <w:rsid w:val="00C266A8"/>
    <w:rsid w:val="00C267C7"/>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5E1"/>
    <w:rsid w:val="00C3695F"/>
    <w:rsid w:val="00C36A36"/>
    <w:rsid w:val="00C36ACB"/>
    <w:rsid w:val="00C36E47"/>
    <w:rsid w:val="00C37827"/>
    <w:rsid w:val="00C37918"/>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01"/>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8AB"/>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346"/>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1EF6"/>
    <w:rsid w:val="00C8215B"/>
    <w:rsid w:val="00C821A5"/>
    <w:rsid w:val="00C824BA"/>
    <w:rsid w:val="00C82771"/>
    <w:rsid w:val="00C82914"/>
    <w:rsid w:val="00C82B0B"/>
    <w:rsid w:val="00C82E4C"/>
    <w:rsid w:val="00C82E5F"/>
    <w:rsid w:val="00C83180"/>
    <w:rsid w:val="00C83611"/>
    <w:rsid w:val="00C84138"/>
    <w:rsid w:val="00C84E67"/>
    <w:rsid w:val="00C84EDF"/>
    <w:rsid w:val="00C857F3"/>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11"/>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EB"/>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DA9"/>
    <w:rsid w:val="00CA7EC6"/>
    <w:rsid w:val="00CB0105"/>
    <w:rsid w:val="00CB0304"/>
    <w:rsid w:val="00CB0922"/>
    <w:rsid w:val="00CB09B9"/>
    <w:rsid w:val="00CB1694"/>
    <w:rsid w:val="00CB1874"/>
    <w:rsid w:val="00CB1958"/>
    <w:rsid w:val="00CB1DAB"/>
    <w:rsid w:val="00CB1DB2"/>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8"/>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B3C"/>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A92"/>
    <w:rsid w:val="00CD0C7F"/>
    <w:rsid w:val="00CD0D78"/>
    <w:rsid w:val="00CD0F24"/>
    <w:rsid w:val="00CD0F76"/>
    <w:rsid w:val="00CD17D2"/>
    <w:rsid w:val="00CD1CC9"/>
    <w:rsid w:val="00CD1D05"/>
    <w:rsid w:val="00CD1DA0"/>
    <w:rsid w:val="00CD24C7"/>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5DC"/>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1E6"/>
    <w:rsid w:val="00CF5358"/>
    <w:rsid w:val="00CF551E"/>
    <w:rsid w:val="00CF57F4"/>
    <w:rsid w:val="00CF589F"/>
    <w:rsid w:val="00CF59E2"/>
    <w:rsid w:val="00CF5A20"/>
    <w:rsid w:val="00CF5A39"/>
    <w:rsid w:val="00CF5A5B"/>
    <w:rsid w:val="00CF5C48"/>
    <w:rsid w:val="00CF5E94"/>
    <w:rsid w:val="00CF6498"/>
    <w:rsid w:val="00CF654D"/>
    <w:rsid w:val="00CF67B0"/>
    <w:rsid w:val="00CF6844"/>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1CF2"/>
    <w:rsid w:val="00D020E2"/>
    <w:rsid w:val="00D0235A"/>
    <w:rsid w:val="00D025A6"/>
    <w:rsid w:val="00D02B09"/>
    <w:rsid w:val="00D02C28"/>
    <w:rsid w:val="00D02F9D"/>
    <w:rsid w:val="00D0306D"/>
    <w:rsid w:val="00D03130"/>
    <w:rsid w:val="00D0360C"/>
    <w:rsid w:val="00D039FD"/>
    <w:rsid w:val="00D03AD2"/>
    <w:rsid w:val="00D03B24"/>
    <w:rsid w:val="00D03CEE"/>
    <w:rsid w:val="00D0405E"/>
    <w:rsid w:val="00D0412E"/>
    <w:rsid w:val="00D04B10"/>
    <w:rsid w:val="00D04C39"/>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8F"/>
    <w:rsid w:val="00D20C74"/>
    <w:rsid w:val="00D20E9D"/>
    <w:rsid w:val="00D2100B"/>
    <w:rsid w:val="00D21099"/>
    <w:rsid w:val="00D2112B"/>
    <w:rsid w:val="00D212AF"/>
    <w:rsid w:val="00D21A76"/>
    <w:rsid w:val="00D21D42"/>
    <w:rsid w:val="00D21EC9"/>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1CD"/>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581"/>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9F6"/>
    <w:rsid w:val="00D42F28"/>
    <w:rsid w:val="00D4321B"/>
    <w:rsid w:val="00D435B0"/>
    <w:rsid w:val="00D4394A"/>
    <w:rsid w:val="00D43BB4"/>
    <w:rsid w:val="00D4428E"/>
    <w:rsid w:val="00D442CE"/>
    <w:rsid w:val="00D444F2"/>
    <w:rsid w:val="00D449E4"/>
    <w:rsid w:val="00D4511A"/>
    <w:rsid w:val="00D451B1"/>
    <w:rsid w:val="00D4525A"/>
    <w:rsid w:val="00D45290"/>
    <w:rsid w:val="00D4571E"/>
    <w:rsid w:val="00D45736"/>
    <w:rsid w:val="00D45781"/>
    <w:rsid w:val="00D45AB1"/>
    <w:rsid w:val="00D45B28"/>
    <w:rsid w:val="00D4621E"/>
    <w:rsid w:val="00D46BFB"/>
    <w:rsid w:val="00D46F55"/>
    <w:rsid w:val="00D46F86"/>
    <w:rsid w:val="00D47328"/>
    <w:rsid w:val="00D47DEC"/>
    <w:rsid w:val="00D47F1D"/>
    <w:rsid w:val="00D50052"/>
    <w:rsid w:val="00D50141"/>
    <w:rsid w:val="00D50A54"/>
    <w:rsid w:val="00D5126C"/>
    <w:rsid w:val="00D5170E"/>
    <w:rsid w:val="00D51A6E"/>
    <w:rsid w:val="00D51E70"/>
    <w:rsid w:val="00D52680"/>
    <w:rsid w:val="00D536DC"/>
    <w:rsid w:val="00D536F1"/>
    <w:rsid w:val="00D53A3B"/>
    <w:rsid w:val="00D54108"/>
    <w:rsid w:val="00D54301"/>
    <w:rsid w:val="00D5436C"/>
    <w:rsid w:val="00D54391"/>
    <w:rsid w:val="00D547F2"/>
    <w:rsid w:val="00D54833"/>
    <w:rsid w:val="00D549F4"/>
    <w:rsid w:val="00D54D08"/>
    <w:rsid w:val="00D5518A"/>
    <w:rsid w:val="00D5535C"/>
    <w:rsid w:val="00D5541B"/>
    <w:rsid w:val="00D5564A"/>
    <w:rsid w:val="00D55683"/>
    <w:rsid w:val="00D55AFA"/>
    <w:rsid w:val="00D55BB9"/>
    <w:rsid w:val="00D5613E"/>
    <w:rsid w:val="00D56396"/>
    <w:rsid w:val="00D56460"/>
    <w:rsid w:val="00D56B1B"/>
    <w:rsid w:val="00D57068"/>
    <w:rsid w:val="00D5740A"/>
    <w:rsid w:val="00D57547"/>
    <w:rsid w:val="00D5757A"/>
    <w:rsid w:val="00D57A15"/>
    <w:rsid w:val="00D57E19"/>
    <w:rsid w:val="00D57FDA"/>
    <w:rsid w:val="00D602CE"/>
    <w:rsid w:val="00D60464"/>
    <w:rsid w:val="00D60A11"/>
    <w:rsid w:val="00D60FF7"/>
    <w:rsid w:val="00D610C8"/>
    <w:rsid w:val="00D6199C"/>
    <w:rsid w:val="00D61D90"/>
    <w:rsid w:val="00D61DBA"/>
    <w:rsid w:val="00D61FA1"/>
    <w:rsid w:val="00D622B9"/>
    <w:rsid w:val="00D624EA"/>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773"/>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7DF"/>
    <w:rsid w:val="00D7281D"/>
    <w:rsid w:val="00D728B5"/>
    <w:rsid w:val="00D72AAB"/>
    <w:rsid w:val="00D72C0D"/>
    <w:rsid w:val="00D72D7E"/>
    <w:rsid w:val="00D73236"/>
    <w:rsid w:val="00D736ED"/>
    <w:rsid w:val="00D73829"/>
    <w:rsid w:val="00D73853"/>
    <w:rsid w:val="00D73885"/>
    <w:rsid w:val="00D73A1F"/>
    <w:rsid w:val="00D73E16"/>
    <w:rsid w:val="00D73E3C"/>
    <w:rsid w:val="00D7407B"/>
    <w:rsid w:val="00D742F4"/>
    <w:rsid w:val="00D74437"/>
    <w:rsid w:val="00D748BF"/>
    <w:rsid w:val="00D74B10"/>
    <w:rsid w:val="00D74F1B"/>
    <w:rsid w:val="00D7571F"/>
    <w:rsid w:val="00D75757"/>
    <w:rsid w:val="00D758DD"/>
    <w:rsid w:val="00D75D22"/>
    <w:rsid w:val="00D765C0"/>
    <w:rsid w:val="00D7678E"/>
    <w:rsid w:val="00D76885"/>
    <w:rsid w:val="00D768BB"/>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4AC"/>
    <w:rsid w:val="00D846BE"/>
    <w:rsid w:val="00D84979"/>
    <w:rsid w:val="00D84D15"/>
    <w:rsid w:val="00D851F4"/>
    <w:rsid w:val="00D85907"/>
    <w:rsid w:val="00D85B2B"/>
    <w:rsid w:val="00D85BB3"/>
    <w:rsid w:val="00D85DE0"/>
    <w:rsid w:val="00D85E62"/>
    <w:rsid w:val="00D85EFC"/>
    <w:rsid w:val="00D85FA9"/>
    <w:rsid w:val="00D860FA"/>
    <w:rsid w:val="00D8614E"/>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A7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170"/>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9A"/>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9DA"/>
    <w:rsid w:val="00DB3D2C"/>
    <w:rsid w:val="00DB3D9D"/>
    <w:rsid w:val="00DB3E04"/>
    <w:rsid w:val="00DB3E29"/>
    <w:rsid w:val="00DB3FE4"/>
    <w:rsid w:val="00DB42A8"/>
    <w:rsid w:val="00DB44B4"/>
    <w:rsid w:val="00DB4716"/>
    <w:rsid w:val="00DB4743"/>
    <w:rsid w:val="00DB4872"/>
    <w:rsid w:val="00DB4928"/>
    <w:rsid w:val="00DB4A67"/>
    <w:rsid w:val="00DB5233"/>
    <w:rsid w:val="00DB55AC"/>
    <w:rsid w:val="00DB56F5"/>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B86"/>
    <w:rsid w:val="00DC7F11"/>
    <w:rsid w:val="00DD00F5"/>
    <w:rsid w:val="00DD0134"/>
    <w:rsid w:val="00DD0276"/>
    <w:rsid w:val="00DD0442"/>
    <w:rsid w:val="00DD0E7E"/>
    <w:rsid w:val="00DD1008"/>
    <w:rsid w:val="00DD14C6"/>
    <w:rsid w:val="00DD14D2"/>
    <w:rsid w:val="00DD1602"/>
    <w:rsid w:val="00DD164C"/>
    <w:rsid w:val="00DD16BF"/>
    <w:rsid w:val="00DD1F2B"/>
    <w:rsid w:val="00DD2264"/>
    <w:rsid w:val="00DD22AF"/>
    <w:rsid w:val="00DD2394"/>
    <w:rsid w:val="00DD258D"/>
    <w:rsid w:val="00DD263D"/>
    <w:rsid w:val="00DD27B0"/>
    <w:rsid w:val="00DD2DC1"/>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8B9"/>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81D"/>
    <w:rsid w:val="00DE3A26"/>
    <w:rsid w:val="00DE3C0C"/>
    <w:rsid w:val="00DE3D9E"/>
    <w:rsid w:val="00DE3E39"/>
    <w:rsid w:val="00DE40C1"/>
    <w:rsid w:val="00DE40D7"/>
    <w:rsid w:val="00DE4114"/>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35F"/>
    <w:rsid w:val="00DF0382"/>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159"/>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B5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25B"/>
    <w:rsid w:val="00E13410"/>
    <w:rsid w:val="00E135AC"/>
    <w:rsid w:val="00E1397B"/>
    <w:rsid w:val="00E13B98"/>
    <w:rsid w:val="00E13C3F"/>
    <w:rsid w:val="00E13D0B"/>
    <w:rsid w:val="00E13FD7"/>
    <w:rsid w:val="00E140E1"/>
    <w:rsid w:val="00E1446D"/>
    <w:rsid w:val="00E148EB"/>
    <w:rsid w:val="00E149FF"/>
    <w:rsid w:val="00E14AE8"/>
    <w:rsid w:val="00E14CCC"/>
    <w:rsid w:val="00E15043"/>
    <w:rsid w:val="00E15237"/>
    <w:rsid w:val="00E15575"/>
    <w:rsid w:val="00E15622"/>
    <w:rsid w:val="00E15C9F"/>
    <w:rsid w:val="00E166C0"/>
    <w:rsid w:val="00E1696F"/>
    <w:rsid w:val="00E17267"/>
    <w:rsid w:val="00E175E8"/>
    <w:rsid w:val="00E17685"/>
    <w:rsid w:val="00E17A65"/>
    <w:rsid w:val="00E20189"/>
    <w:rsid w:val="00E20A15"/>
    <w:rsid w:val="00E20ADC"/>
    <w:rsid w:val="00E20C83"/>
    <w:rsid w:val="00E20CFF"/>
    <w:rsid w:val="00E21191"/>
    <w:rsid w:val="00E2165B"/>
    <w:rsid w:val="00E2174F"/>
    <w:rsid w:val="00E218C0"/>
    <w:rsid w:val="00E21911"/>
    <w:rsid w:val="00E21BBF"/>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9A8"/>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1"/>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05E"/>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DA5"/>
    <w:rsid w:val="00E41FA7"/>
    <w:rsid w:val="00E42B5E"/>
    <w:rsid w:val="00E42E62"/>
    <w:rsid w:val="00E432D9"/>
    <w:rsid w:val="00E433A4"/>
    <w:rsid w:val="00E43A7D"/>
    <w:rsid w:val="00E43B7E"/>
    <w:rsid w:val="00E443C3"/>
    <w:rsid w:val="00E443E0"/>
    <w:rsid w:val="00E4448C"/>
    <w:rsid w:val="00E4454B"/>
    <w:rsid w:val="00E445EA"/>
    <w:rsid w:val="00E44902"/>
    <w:rsid w:val="00E44D6D"/>
    <w:rsid w:val="00E44EFE"/>
    <w:rsid w:val="00E45141"/>
    <w:rsid w:val="00E455FD"/>
    <w:rsid w:val="00E45866"/>
    <w:rsid w:val="00E46024"/>
    <w:rsid w:val="00E46074"/>
    <w:rsid w:val="00E461CC"/>
    <w:rsid w:val="00E46258"/>
    <w:rsid w:val="00E4654D"/>
    <w:rsid w:val="00E470EB"/>
    <w:rsid w:val="00E472C5"/>
    <w:rsid w:val="00E47456"/>
    <w:rsid w:val="00E4761D"/>
    <w:rsid w:val="00E47EE0"/>
    <w:rsid w:val="00E47F30"/>
    <w:rsid w:val="00E47F34"/>
    <w:rsid w:val="00E5038B"/>
    <w:rsid w:val="00E5045B"/>
    <w:rsid w:val="00E50653"/>
    <w:rsid w:val="00E50706"/>
    <w:rsid w:val="00E50D60"/>
    <w:rsid w:val="00E50EA5"/>
    <w:rsid w:val="00E5148F"/>
    <w:rsid w:val="00E5155A"/>
    <w:rsid w:val="00E516D9"/>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13"/>
    <w:rsid w:val="00E60D46"/>
    <w:rsid w:val="00E60DAC"/>
    <w:rsid w:val="00E60EFA"/>
    <w:rsid w:val="00E61097"/>
    <w:rsid w:val="00E61291"/>
    <w:rsid w:val="00E61809"/>
    <w:rsid w:val="00E6184C"/>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4"/>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C8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471"/>
    <w:rsid w:val="00E817ED"/>
    <w:rsid w:val="00E81D98"/>
    <w:rsid w:val="00E820F8"/>
    <w:rsid w:val="00E82644"/>
    <w:rsid w:val="00E8288B"/>
    <w:rsid w:val="00E82F23"/>
    <w:rsid w:val="00E82FE3"/>
    <w:rsid w:val="00E833E6"/>
    <w:rsid w:val="00E835CA"/>
    <w:rsid w:val="00E837DA"/>
    <w:rsid w:val="00E83B87"/>
    <w:rsid w:val="00E83FA4"/>
    <w:rsid w:val="00E84622"/>
    <w:rsid w:val="00E847A0"/>
    <w:rsid w:val="00E84A73"/>
    <w:rsid w:val="00E84BEC"/>
    <w:rsid w:val="00E8512F"/>
    <w:rsid w:val="00E853AA"/>
    <w:rsid w:val="00E85ADE"/>
    <w:rsid w:val="00E862F6"/>
    <w:rsid w:val="00E86350"/>
    <w:rsid w:val="00E863DE"/>
    <w:rsid w:val="00E866AB"/>
    <w:rsid w:val="00E86752"/>
    <w:rsid w:val="00E86959"/>
    <w:rsid w:val="00E86E36"/>
    <w:rsid w:val="00E87577"/>
    <w:rsid w:val="00E87891"/>
    <w:rsid w:val="00E87EEF"/>
    <w:rsid w:val="00E91078"/>
    <w:rsid w:val="00E9133A"/>
    <w:rsid w:val="00E914F4"/>
    <w:rsid w:val="00E91D67"/>
    <w:rsid w:val="00E92603"/>
    <w:rsid w:val="00E927DD"/>
    <w:rsid w:val="00E928A3"/>
    <w:rsid w:val="00E92AE4"/>
    <w:rsid w:val="00E92BFE"/>
    <w:rsid w:val="00E932AF"/>
    <w:rsid w:val="00E93352"/>
    <w:rsid w:val="00E936B1"/>
    <w:rsid w:val="00E93A4F"/>
    <w:rsid w:val="00E93FD2"/>
    <w:rsid w:val="00E94099"/>
    <w:rsid w:val="00E94208"/>
    <w:rsid w:val="00E94695"/>
    <w:rsid w:val="00E94A6A"/>
    <w:rsid w:val="00E94A79"/>
    <w:rsid w:val="00E94B05"/>
    <w:rsid w:val="00E9562A"/>
    <w:rsid w:val="00E95827"/>
    <w:rsid w:val="00E958DB"/>
    <w:rsid w:val="00E95EB4"/>
    <w:rsid w:val="00E95EF9"/>
    <w:rsid w:val="00E9616D"/>
    <w:rsid w:val="00E96518"/>
    <w:rsid w:val="00E96809"/>
    <w:rsid w:val="00E9681F"/>
    <w:rsid w:val="00E968F7"/>
    <w:rsid w:val="00E970FF"/>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BB9"/>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C9"/>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39F9"/>
    <w:rsid w:val="00EC404E"/>
    <w:rsid w:val="00EC5182"/>
    <w:rsid w:val="00EC5191"/>
    <w:rsid w:val="00EC51B5"/>
    <w:rsid w:val="00EC51FD"/>
    <w:rsid w:val="00EC546B"/>
    <w:rsid w:val="00EC5FDC"/>
    <w:rsid w:val="00EC6055"/>
    <w:rsid w:val="00EC613F"/>
    <w:rsid w:val="00EC6511"/>
    <w:rsid w:val="00EC65EB"/>
    <w:rsid w:val="00EC6AB2"/>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16"/>
    <w:rsid w:val="00ED6872"/>
    <w:rsid w:val="00ED69F3"/>
    <w:rsid w:val="00ED6D22"/>
    <w:rsid w:val="00ED6E50"/>
    <w:rsid w:val="00ED6F28"/>
    <w:rsid w:val="00ED78E0"/>
    <w:rsid w:val="00ED7CCB"/>
    <w:rsid w:val="00EE01A3"/>
    <w:rsid w:val="00EE0226"/>
    <w:rsid w:val="00EE08C2"/>
    <w:rsid w:val="00EE0D7B"/>
    <w:rsid w:val="00EE0F04"/>
    <w:rsid w:val="00EE106C"/>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5C7"/>
    <w:rsid w:val="00EE760F"/>
    <w:rsid w:val="00EE7A57"/>
    <w:rsid w:val="00EF026B"/>
    <w:rsid w:val="00EF0400"/>
    <w:rsid w:val="00EF0817"/>
    <w:rsid w:val="00EF0968"/>
    <w:rsid w:val="00EF0B53"/>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D90"/>
    <w:rsid w:val="00EF6E80"/>
    <w:rsid w:val="00EF7956"/>
    <w:rsid w:val="00EF7F60"/>
    <w:rsid w:val="00F00116"/>
    <w:rsid w:val="00F0034A"/>
    <w:rsid w:val="00F00669"/>
    <w:rsid w:val="00F00670"/>
    <w:rsid w:val="00F0069D"/>
    <w:rsid w:val="00F00A3A"/>
    <w:rsid w:val="00F00C08"/>
    <w:rsid w:val="00F0111D"/>
    <w:rsid w:val="00F0191F"/>
    <w:rsid w:val="00F01ABB"/>
    <w:rsid w:val="00F023E4"/>
    <w:rsid w:val="00F026C9"/>
    <w:rsid w:val="00F02949"/>
    <w:rsid w:val="00F02A5D"/>
    <w:rsid w:val="00F02DCF"/>
    <w:rsid w:val="00F03472"/>
    <w:rsid w:val="00F038D8"/>
    <w:rsid w:val="00F03ABB"/>
    <w:rsid w:val="00F03B4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8BA"/>
    <w:rsid w:val="00F15DD8"/>
    <w:rsid w:val="00F15E76"/>
    <w:rsid w:val="00F1607B"/>
    <w:rsid w:val="00F164DA"/>
    <w:rsid w:val="00F1668F"/>
    <w:rsid w:val="00F16830"/>
    <w:rsid w:val="00F169F4"/>
    <w:rsid w:val="00F16AEB"/>
    <w:rsid w:val="00F16C7B"/>
    <w:rsid w:val="00F16CFA"/>
    <w:rsid w:val="00F16EAF"/>
    <w:rsid w:val="00F17147"/>
    <w:rsid w:val="00F17752"/>
    <w:rsid w:val="00F17E0B"/>
    <w:rsid w:val="00F20240"/>
    <w:rsid w:val="00F204F1"/>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0E9"/>
    <w:rsid w:val="00F23150"/>
    <w:rsid w:val="00F2343B"/>
    <w:rsid w:val="00F238C4"/>
    <w:rsid w:val="00F23AC0"/>
    <w:rsid w:val="00F23D28"/>
    <w:rsid w:val="00F23DAD"/>
    <w:rsid w:val="00F23FA7"/>
    <w:rsid w:val="00F240F7"/>
    <w:rsid w:val="00F24640"/>
    <w:rsid w:val="00F24EBF"/>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69A"/>
    <w:rsid w:val="00F30BC4"/>
    <w:rsid w:val="00F30D20"/>
    <w:rsid w:val="00F31018"/>
    <w:rsid w:val="00F31256"/>
    <w:rsid w:val="00F312EC"/>
    <w:rsid w:val="00F31913"/>
    <w:rsid w:val="00F32321"/>
    <w:rsid w:val="00F32CB3"/>
    <w:rsid w:val="00F32E03"/>
    <w:rsid w:val="00F3319A"/>
    <w:rsid w:val="00F331DD"/>
    <w:rsid w:val="00F33771"/>
    <w:rsid w:val="00F33AEF"/>
    <w:rsid w:val="00F3404B"/>
    <w:rsid w:val="00F34054"/>
    <w:rsid w:val="00F341D1"/>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9E2"/>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A42"/>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B2"/>
    <w:rsid w:val="00F65EDB"/>
    <w:rsid w:val="00F66093"/>
    <w:rsid w:val="00F660F0"/>
    <w:rsid w:val="00F66635"/>
    <w:rsid w:val="00F66656"/>
    <w:rsid w:val="00F667F0"/>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24"/>
    <w:rsid w:val="00F72B7A"/>
    <w:rsid w:val="00F72EC4"/>
    <w:rsid w:val="00F72FC5"/>
    <w:rsid w:val="00F73168"/>
    <w:rsid w:val="00F7319D"/>
    <w:rsid w:val="00F73225"/>
    <w:rsid w:val="00F73241"/>
    <w:rsid w:val="00F732B8"/>
    <w:rsid w:val="00F73FEF"/>
    <w:rsid w:val="00F74753"/>
    <w:rsid w:val="00F74768"/>
    <w:rsid w:val="00F748C0"/>
    <w:rsid w:val="00F74A0D"/>
    <w:rsid w:val="00F74A8B"/>
    <w:rsid w:val="00F754E7"/>
    <w:rsid w:val="00F758B4"/>
    <w:rsid w:val="00F75EA2"/>
    <w:rsid w:val="00F7656F"/>
    <w:rsid w:val="00F76DD7"/>
    <w:rsid w:val="00F76F23"/>
    <w:rsid w:val="00F77061"/>
    <w:rsid w:val="00F776AC"/>
    <w:rsid w:val="00F776F4"/>
    <w:rsid w:val="00F77852"/>
    <w:rsid w:val="00F77A39"/>
    <w:rsid w:val="00F80535"/>
    <w:rsid w:val="00F814E9"/>
    <w:rsid w:val="00F81709"/>
    <w:rsid w:val="00F817FC"/>
    <w:rsid w:val="00F81AE4"/>
    <w:rsid w:val="00F81D7F"/>
    <w:rsid w:val="00F824B5"/>
    <w:rsid w:val="00F82545"/>
    <w:rsid w:val="00F82A32"/>
    <w:rsid w:val="00F82DDD"/>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63"/>
    <w:rsid w:val="00F92EFE"/>
    <w:rsid w:val="00F934E4"/>
    <w:rsid w:val="00F938B5"/>
    <w:rsid w:val="00F939A9"/>
    <w:rsid w:val="00F93A1B"/>
    <w:rsid w:val="00F9425B"/>
    <w:rsid w:val="00F9442C"/>
    <w:rsid w:val="00F944BD"/>
    <w:rsid w:val="00F946A1"/>
    <w:rsid w:val="00F94710"/>
    <w:rsid w:val="00F94C56"/>
    <w:rsid w:val="00F95082"/>
    <w:rsid w:val="00F95363"/>
    <w:rsid w:val="00F9543D"/>
    <w:rsid w:val="00F9635B"/>
    <w:rsid w:val="00F9658B"/>
    <w:rsid w:val="00F968A0"/>
    <w:rsid w:val="00F96D75"/>
    <w:rsid w:val="00F96F33"/>
    <w:rsid w:val="00F971CC"/>
    <w:rsid w:val="00F97EBC"/>
    <w:rsid w:val="00FA0393"/>
    <w:rsid w:val="00FA03D4"/>
    <w:rsid w:val="00FA05F3"/>
    <w:rsid w:val="00FA0A26"/>
    <w:rsid w:val="00FA147E"/>
    <w:rsid w:val="00FA16BF"/>
    <w:rsid w:val="00FA1876"/>
    <w:rsid w:val="00FA1D4F"/>
    <w:rsid w:val="00FA1D6A"/>
    <w:rsid w:val="00FA252E"/>
    <w:rsid w:val="00FA266A"/>
    <w:rsid w:val="00FA2741"/>
    <w:rsid w:val="00FA2A97"/>
    <w:rsid w:val="00FA2AAD"/>
    <w:rsid w:val="00FA2E2F"/>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AD9"/>
    <w:rsid w:val="00FA5DBB"/>
    <w:rsid w:val="00FA63C5"/>
    <w:rsid w:val="00FA6540"/>
    <w:rsid w:val="00FA6B22"/>
    <w:rsid w:val="00FA6BE1"/>
    <w:rsid w:val="00FA70D8"/>
    <w:rsid w:val="00FA74AE"/>
    <w:rsid w:val="00FA7696"/>
    <w:rsid w:val="00FA79B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685"/>
    <w:rsid w:val="00FB4B85"/>
    <w:rsid w:val="00FB4C47"/>
    <w:rsid w:val="00FB4FCC"/>
    <w:rsid w:val="00FB54AE"/>
    <w:rsid w:val="00FB552C"/>
    <w:rsid w:val="00FB67D3"/>
    <w:rsid w:val="00FB69EE"/>
    <w:rsid w:val="00FB780E"/>
    <w:rsid w:val="00FB7892"/>
    <w:rsid w:val="00FB7C81"/>
    <w:rsid w:val="00FB7E2E"/>
    <w:rsid w:val="00FB7F08"/>
    <w:rsid w:val="00FC02D1"/>
    <w:rsid w:val="00FC03DD"/>
    <w:rsid w:val="00FC0A68"/>
    <w:rsid w:val="00FC0DED"/>
    <w:rsid w:val="00FC12B1"/>
    <w:rsid w:val="00FC1952"/>
    <w:rsid w:val="00FC1F15"/>
    <w:rsid w:val="00FC1F1A"/>
    <w:rsid w:val="00FC223A"/>
    <w:rsid w:val="00FC2486"/>
    <w:rsid w:val="00FC262E"/>
    <w:rsid w:val="00FC2695"/>
    <w:rsid w:val="00FC281A"/>
    <w:rsid w:val="00FC284F"/>
    <w:rsid w:val="00FC2991"/>
    <w:rsid w:val="00FC2B5D"/>
    <w:rsid w:val="00FC2F32"/>
    <w:rsid w:val="00FC3328"/>
    <w:rsid w:val="00FC3846"/>
    <w:rsid w:val="00FC3885"/>
    <w:rsid w:val="00FC3926"/>
    <w:rsid w:val="00FC3BEF"/>
    <w:rsid w:val="00FC3D27"/>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0B8"/>
    <w:rsid w:val="00FD1E48"/>
    <w:rsid w:val="00FD232A"/>
    <w:rsid w:val="00FD274A"/>
    <w:rsid w:val="00FD324D"/>
    <w:rsid w:val="00FD360C"/>
    <w:rsid w:val="00FD3B55"/>
    <w:rsid w:val="00FD437B"/>
    <w:rsid w:val="00FD43A0"/>
    <w:rsid w:val="00FD4859"/>
    <w:rsid w:val="00FD515E"/>
    <w:rsid w:val="00FD54F6"/>
    <w:rsid w:val="00FD5511"/>
    <w:rsid w:val="00FD5C39"/>
    <w:rsid w:val="00FD5C77"/>
    <w:rsid w:val="00FD6104"/>
    <w:rsid w:val="00FD627A"/>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BAF"/>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FBD"/>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3F9"/>
    <w:rsid w:val="00FF440D"/>
    <w:rsid w:val="00FF4658"/>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17E"/>
    <w:rsid w:val="00FF75FC"/>
    <w:rsid w:val="00FF79EC"/>
    <w:rsid w:val="00FF7A60"/>
    <w:rsid w:val="00FF7A90"/>
    <w:rsid w:val="00FF7E4D"/>
    <w:rsid w:val="0115454E"/>
    <w:rsid w:val="0120514A"/>
    <w:rsid w:val="01242C11"/>
    <w:rsid w:val="013B5510"/>
    <w:rsid w:val="013C4497"/>
    <w:rsid w:val="013D13C6"/>
    <w:rsid w:val="01422B07"/>
    <w:rsid w:val="01462EFE"/>
    <w:rsid w:val="015E0BE9"/>
    <w:rsid w:val="016847E7"/>
    <w:rsid w:val="018F1416"/>
    <w:rsid w:val="01920B7A"/>
    <w:rsid w:val="01965EC4"/>
    <w:rsid w:val="01AB094A"/>
    <w:rsid w:val="01AE21DC"/>
    <w:rsid w:val="01B306E4"/>
    <w:rsid w:val="01D27A5F"/>
    <w:rsid w:val="01E3250B"/>
    <w:rsid w:val="02004B2C"/>
    <w:rsid w:val="0201766A"/>
    <w:rsid w:val="02151F95"/>
    <w:rsid w:val="022A4AA1"/>
    <w:rsid w:val="022E47B0"/>
    <w:rsid w:val="02554999"/>
    <w:rsid w:val="02565169"/>
    <w:rsid w:val="02574326"/>
    <w:rsid w:val="025B75F9"/>
    <w:rsid w:val="02767EF6"/>
    <w:rsid w:val="029B47FF"/>
    <w:rsid w:val="02B34E07"/>
    <w:rsid w:val="02E818F1"/>
    <w:rsid w:val="030F5EB8"/>
    <w:rsid w:val="031B3D3A"/>
    <w:rsid w:val="03300F14"/>
    <w:rsid w:val="03382F46"/>
    <w:rsid w:val="033A53C5"/>
    <w:rsid w:val="035F5C80"/>
    <w:rsid w:val="037C375A"/>
    <w:rsid w:val="037C5BED"/>
    <w:rsid w:val="038317D7"/>
    <w:rsid w:val="03871F70"/>
    <w:rsid w:val="03915486"/>
    <w:rsid w:val="03AE2B70"/>
    <w:rsid w:val="03C200B6"/>
    <w:rsid w:val="03D642A2"/>
    <w:rsid w:val="03D64A3B"/>
    <w:rsid w:val="03D81924"/>
    <w:rsid w:val="03E9024B"/>
    <w:rsid w:val="03E925DE"/>
    <w:rsid w:val="03EF321E"/>
    <w:rsid w:val="03F638B5"/>
    <w:rsid w:val="0415423A"/>
    <w:rsid w:val="042B188D"/>
    <w:rsid w:val="04314521"/>
    <w:rsid w:val="043A302C"/>
    <w:rsid w:val="043F479D"/>
    <w:rsid w:val="04694EAC"/>
    <w:rsid w:val="046A03D5"/>
    <w:rsid w:val="046C35A2"/>
    <w:rsid w:val="0492209E"/>
    <w:rsid w:val="049406C4"/>
    <w:rsid w:val="049874B1"/>
    <w:rsid w:val="04B345F7"/>
    <w:rsid w:val="04BE7DD0"/>
    <w:rsid w:val="04CD0148"/>
    <w:rsid w:val="04EB3650"/>
    <w:rsid w:val="050D0125"/>
    <w:rsid w:val="054445DB"/>
    <w:rsid w:val="055A06C9"/>
    <w:rsid w:val="05644CA9"/>
    <w:rsid w:val="056A6ABC"/>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A11B02"/>
    <w:rsid w:val="06A25EC3"/>
    <w:rsid w:val="06BA6ABF"/>
    <w:rsid w:val="06C62058"/>
    <w:rsid w:val="06CF7159"/>
    <w:rsid w:val="06D32D7E"/>
    <w:rsid w:val="06D82C75"/>
    <w:rsid w:val="06DC324E"/>
    <w:rsid w:val="06E21138"/>
    <w:rsid w:val="06E64C63"/>
    <w:rsid w:val="06F24EF2"/>
    <w:rsid w:val="07470651"/>
    <w:rsid w:val="075815C4"/>
    <w:rsid w:val="07831657"/>
    <w:rsid w:val="07854CBD"/>
    <w:rsid w:val="07934010"/>
    <w:rsid w:val="079D12CF"/>
    <w:rsid w:val="07A46BE4"/>
    <w:rsid w:val="07AE7932"/>
    <w:rsid w:val="07B814E5"/>
    <w:rsid w:val="07CC3E2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15151C"/>
    <w:rsid w:val="0A2C58A0"/>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0D2660"/>
    <w:rsid w:val="0D103D70"/>
    <w:rsid w:val="0D1B57D8"/>
    <w:rsid w:val="0D220294"/>
    <w:rsid w:val="0D283356"/>
    <w:rsid w:val="0D3A4A42"/>
    <w:rsid w:val="0D5773D6"/>
    <w:rsid w:val="0D594DB6"/>
    <w:rsid w:val="0D632B1E"/>
    <w:rsid w:val="0D6E771D"/>
    <w:rsid w:val="0D7D7848"/>
    <w:rsid w:val="0D80206A"/>
    <w:rsid w:val="0D8E173E"/>
    <w:rsid w:val="0DA10A04"/>
    <w:rsid w:val="0DD74FA9"/>
    <w:rsid w:val="0DF13B47"/>
    <w:rsid w:val="0E0A5187"/>
    <w:rsid w:val="0E1865F7"/>
    <w:rsid w:val="0E332166"/>
    <w:rsid w:val="0E3917FF"/>
    <w:rsid w:val="0E613656"/>
    <w:rsid w:val="0E72787E"/>
    <w:rsid w:val="0E9F5739"/>
    <w:rsid w:val="0EC3008E"/>
    <w:rsid w:val="0EDB339F"/>
    <w:rsid w:val="0F125211"/>
    <w:rsid w:val="0F152A9D"/>
    <w:rsid w:val="0F1E6D2F"/>
    <w:rsid w:val="0F1E7B0D"/>
    <w:rsid w:val="0F5E3523"/>
    <w:rsid w:val="0F62047F"/>
    <w:rsid w:val="0F6A4DD3"/>
    <w:rsid w:val="0F6B41F3"/>
    <w:rsid w:val="0F7A2097"/>
    <w:rsid w:val="0F7F1100"/>
    <w:rsid w:val="0F816B6A"/>
    <w:rsid w:val="0F82210C"/>
    <w:rsid w:val="0F950757"/>
    <w:rsid w:val="0FA023BF"/>
    <w:rsid w:val="0FA36B70"/>
    <w:rsid w:val="0FA37671"/>
    <w:rsid w:val="0FAC2C6D"/>
    <w:rsid w:val="0FB3217F"/>
    <w:rsid w:val="0FB70395"/>
    <w:rsid w:val="0FBA4112"/>
    <w:rsid w:val="0FBB10D0"/>
    <w:rsid w:val="0FDA6A10"/>
    <w:rsid w:val="10040C3F"/>
    <w:rsid w:val="100B59FA"/>
    <w:rsid w:val="10110CDB"/>
    <w:rsid w:val="10137050"/>
    <w:rsid w:val="10206D1E"/>
    <w:rsid w:val="10357330"/>
    <w:rsid w:val="103D2B98"/>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1D72352"/>
    <w:rsid w:val="11F501A2"/>
    <w:rsid w:val="1228310E"/>
    <w:rsid w:val="12325B1D"/>
    <w:rsid w:val="1244691E"/>
    <w:rsid w:val="1251591B"/>
    <w:rsid w:val="12610602"/>
    <w:rsid w:val="126B461E"/>
    <w:rsid w:val="127D72F2"/>
    <w:rsid w:val="12A908D3"/>
    <w:rsid w:val="12AA7F02"/>
    <w:rsid w:val="12B31A9B"/>
    <w:rsid w:val="12B47253"/>
    <w:rsid w:val="12C14396"/>
    <w:rsid w:val="12D00E3E"/>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BF5646"/>
    <w:rsid w:val="14C02505"/>
    <w:rsid w:val="14C34089"/>
    <w:rsid w:val="14C40F38"/>
    <w:rsid w:val="14DB33FC"/>
    <w:rsid w:val="14DE0AFC"/>
    <w:rsid w:val="14E45E82"/>
    <w:rsid w:val="14E7787F"/>
    <w:rsid w:val="14F44F2E"/>
    <w:rsid w:val="15033147"/>
    <w:rsid w:val="15416178"/>
    <w:rsid w:val="1561603B"/>
    <w:rsid w:val="15690DB0"/>
    <w:rsid w:val="157C4BB9"/>
    <w:rsid w:val="15860E6E"/>
    <w:rsid w:val="158F48E5"/>
    <w:rsid w:val="15C94A90"/>
    <w:rsid w:val="15D00F14"/>
    <w:rsid w:val="15D74588"/>
    <w:rsid w:val="15EB4378"/>
    <w:rsid w:val="15EF0D39"/>
    <w:rsid w:val="15FB4E72"/>
    <w:rsid w:val="160B185E"/>
    <w:rsid w:val="1628036C"/>
    <w:rsid w:val="16435A3F"/>
    <w:rsid w:val="164E340B"/>
    <w:rsid w:val="16702D89"/>
    <w:rsid w:val="16704155"/>
    <w:rsid w:val="167813E6"/>
    <w:rsid w:val="16796F0F"/>
    <w:rsid w:val="1688556A"/>
    <w:rsid w:val="16957DA0"/>
    <w:rsid w:val="16A00FDF"/>
    <w:rsid w:val="16A32AAC"/>
    <w:rsid w:val="16A470C1"/>
    <w:rsid w:val="16AF0615"/>
    <w:rsid w:val="16BD0B49"/>
    <w:rsid w:val="16D50CFC"/>
    <w:rsid w:val="16E33AB3"/>
    <w:rsid w:val="16EB76EF"/>
    <w:rsid w:val="17141C1D"/>
    <w:rsid w:val="171B0546"/>
    <w:rsid w:val="17227165"/>
    <w:rsid w:val="17304A49"/>
    <w:rsid w:val="173353C2"/>
    <w:rsid w:val="174224E7"/>
    <w:rsid w:val="17493381"/>
    <w:rsid w:val="176F0BCE"/>
    <w:rsid w:val="177017C4"/>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A118E7"/>
    <w:rsid w:val="18B04B4D"/>
    <w:rsid w:val="18C5316D"/>
    <w:rsid w:val="18D86B6F"/>
    <w:rsid w:val="18DF6F7C"/>
    <w:rsid w:val="18E87E12"/>
    <w:rsid w:val="18F5052C"/>
    <w:rsid w:val="19052A19"/>
    <w:rsid w:val="191D14D9"/>
    <w:rsid w:val="192A1388"/>
    <w:rsid w:val="19693EEF"/>
    <w:rsid w:val="196B5F41"/>
    <w:rsid w:val="197405B3"/>
    <w:rsid w:val="19A33A02"/>
    <w:rsid w:val="19D1732F"/>
    <w:rsid w:val="19F92180"/>
    <w:rsid w:val="1A001213"/>
    <w:rsid w:val="1A0D4248"/>
    <w:rsid w:val="1A200A74"/>
    <w:rsid w:val="1A2F2398"/>
    <w:rsid w:val="1A3055B8"/>
    <w:rsid w:val="1A5655AF"/>
    <w:rsid w:val="1A6B5CD7"/>
    <w:rsid w:val="1A9B675D"/>
    <w:rsid w:val="1AB742E9"/>
    <w:rsid w:val="1AD153DF"/>
    <w:rsid w:val="1ADE3E70"/>
    <w:rsid w:val="1AE032B7"/>
    <w:rsid w:val="1AE42348"/>
    <w:rsid w:val="1AE5004C"/>
    <w:rsid w:val="1AF2383D"/>
    <w:rsid w:val="1B14214A"/>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62717"/>
    <w:rsid w:val="1C4852DE"/>
    <w:rsid w:val="1C4D45E0"/>
    <w:rsid w:val="1CB701AA"/>
    <w:rsid w:val="1CCA0F66"/>
    <w:rsid w:val="1CDE446D"/>
    <w:rsid w:val="1CE05C7B"/>
    <w:rsid w:val="1CE20210"/>
    <w:rsid w:val="1CE30F8A"/>
    <w:rsid w:val="1CE55FB2"/>
    <w:rsid w:val="1D26771C"/>
    <w:rsid w:val="1D464FEE"/>
    <w:rsid w:val="1D5D7C71"/>
    <w:rsid w:val="1D644902"/>
    <w:rsid w:val="1D6B1D16"/>
    <w:rsid w:val="1D8C2BA2"/>
    <w:rsid w:val="1D8F6B81"/>
    <w:rsid w:val="1D905228"/>
    <w:rsid w:val="1D9E7BBD"/>
    <w:rsid w:val="1DA777D9"/>
    <w:rsid w:val="1DAB0536"/>
    <w:rsid w:val="1DBC1C44"/>
    <w:rsid w:val="1DC374E3"/>
    <w:rsid w:val="1DCC2895"/>
    <w:rsid w:val="1DD85A6D"/>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86D3F"/>
    <w:rsid w:val="1FEE648E"/>
    <w:rsid w:val="1FF433BA"/>
    <w:rsid w:val="1FF9202F"/>
    <w:rsid w:val="20003026"/>
    <w:rsid w:val="200F3B23"/>
    <w:rsid w:val="201967D7"/>
    <w:rsid w:val="20374786"/>
    <w:rsid w:val="2039386F"/>
    <w:rsid w:val="20601C10"/>
    <w:rsid w:val="2068761A"/>
    <w:rsid w:val="20757C7B"/>
    <w:rsid w:val="2093753B"/>
    <w:rsid w:val="20A13861"/>
    <w:rsid w:val="20BB0C31"/>
    <w:rsid w:val="20C66D8E"/>
    <w:rsid w:val="20CF37FC"/>
    <w:rsid w:val="20D717F3"/>
    <w:rsid w:val="20F12135"/>
    <w:rsid w:val="20F90AAC"/>
    <w:rsid w:val="20FA405B"/>
    <w:rsid w:val="210B49FC"/>
    <w:rsid w:val="212B616E"/>
    <w:rsid w:val="213121BA"/>
    <w:rsid w:val="214A2960"/>
    <w:rsid w:val="215302B9"/>
    <w:rsid w:val="215670DE"/>
    <w:rsid w:val="2183462B"/>
    <w:rsid w:val="218E4A09"/>
    <w:rsid w:val="218E6399"/>
    <w:rsid w:val="219C6DDD"/>
    <w:rsid w:val="21DF3292"/>
    <w:rsid w:val="21F14EB0"/>
    <w:rsid w:val="22111157"/>
    <w:rsid w:val="2229623B"/>
    <w:rsid w:val="22477192"/>
    <w:rsid w:val="224C2951"/>
    <w:rsid w:val="227A54E3"/>
    <w:rsid w:val="22865CFC"/>
    <w:rsid w:val="2287630F"/>
    <w:rsid w:val="22BD3256"/>
    <w:rsid w:val="22BD4E7D"/>
    <w:rsid w:val="22D07449"/>
    <w:rsid w:val="22D12AB9"/>
    <w:rsid w:val="22E40F3D"/>
    <w:rsid w:val="230B248C"/>
    <w:rsid w:val="231847B8"/>
    <w:rsid w:val="231E3ED2"/>
    <w:rsid w:val="23303C89"/>
    <w:rsid w:val="234421C7"/>
    <w:rsid w:val="234D61BE"/>
    <w:rsid w:val="23537C14"/>
    <w:rsid w:val="23700EEA"/>
    <w:rsid w:val="238C42D2"/>
    <w:rsid w:val="2393048F"/>
    <w:rsid w:val="239E3C8F"/>
    <w:rsid w:val="23A06B4E"/>
    <w:rsid w:val="23A40CCF"/>
    <w:rsid w:val="23F25587"/>
    <w:rsid w:val="23FA1D01"/>
    <w:rsid w:val="2404601A"/>
    <w:rsid w:val="24351B4F"/>
    <w:rsid w:val="243647BB"/>
    <w:rsid w:val="244824B9"/>
    <w:rsid w:val="244C4D68"/>
    <w:rsid w:val="24501237"/>
    <w:rsid w:val="24576A62"/>
    <w:rsid w:val="245E385D"/>
    <w:rsid w:val="246E76BE"/>
    <w:rsid w:val="24762507"/>
    <w:rsid w:val="24774BFA"/>
    <w:rsid w:val="24863B93"/>
    <w:rsid w:val="24975612"/>
    <w:rsid w:val="249E3719"/>
    <w:rsid w:val="24A50FAB"/>
    <w:rsid w:val="24B346B5"/>
    <w:rsid w:val="24B606B7"/>
    <w:rsid w:val="24D92A69"/>
    <w:rsid w:val="24EC3BCA"/>
    <w:rsid w:val="24EC4ADF"/>
    <w:rsid w:val="24EF6448"/>
    <w:rsid w:val="24F71B8F"/>
    <w:rsid w:val="24F92CDE"/>
    <w:rsid w:val="250C0B5D"/>
    <w:rsid w:val="25335BFF"/>
    <w:rsid w:val="25353A77"/>
    <w:rsid w:val="253D4E51"/>
    <w:rsid w:val="25462DA6"/>
    <w:rsid w:val="25893EFE"/>
    <w:rsid w:val="25A308AD"/>
    <w:rsid w:val="25B35E6A"/>
    <w:rsid w:val="25BE6749"/>
    <w:rsid w:val="25DE0185"/>
    <w:rsid w:val="25E04003"/>
    <w:rsid w:val="25EE6875"/>
    <w:rsid w:val="25FB1701"/>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31C64"/>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51DED"/>
    <w:rsid w:val="28300784"/>
    <w:rsid w:val="28316877"/>
    <w:rsid w:val="283F2A39"/>
    <w:rsid w:val="28630E79"/>
    <w:rsid w:val="287004B6"/>
    <w:rsid w:val="28877287"/>
    <w:rsid w:val="28973B61"/>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8B70A5"/>
    <w:rsid w:val="2A90033E"/>
    <w:rsid w:val="2AA47786"/>
    <w:rsid w:val="2AAA19F3"/>
    <w:rsid w:val="2AAD65EE"/>
    <w:rsid w:val="2AB23403"/>
    <w:rsid w:val="2AC77380"/>
    <w:rsid w:val="2ADD6AFD"/>
    <w:rsid w:val="2ADE6550"/>
    <w:rsid w:val="2AE17A5A"/>
    <w:rsid w:val="2AEA0CBC"/>
    <w:rsid w:val="2AEA5064"/>
    <w:rsid w:val="2AFE0D9C"/>
    <w:rsid w:val="2B105C62"/>
    <w:rsid w:val="2B186AE3"/>
    <w:rsid w:val="2B2E0309"/>
    <w:rsid w:val="2B422946"/>
    <w:rsid w:val="2B5B34DC"/>
    <w:rsid w:val="2B6D12EE"/>
    <w:rsid w:val="2B76579E"/>
    <w:rsid w:val="2B831E93"/>
    <w:rsid w:val="2B885C3B"/>
    <w:rsid w:val="2B92249F"/>
    <w:rsid w:val="2B964DED"/>
    <w:rsid w:val="2BA57D96"/>
    <w:rsid w:val="2BAE29A1"/>
    <w:rsid w:val="2BBE438D"/>
    <w:rsid w:val="2BD27D98"/>
    <w:rsid w:val="2BD315B0"/>
    <w:rsid w:val="2BE373EE"/>
    <w:rsid w:val="2BFC3156"/>
    <w:rsid w:val="2C0B111C"/>
    <w:rsid w:val="2C27471C"/>
    <w:rsid w:val="2C295EB9"/>
    <w:rsid w:val="2C2E1931"/>
    <w:rsid w:val="2C35729B"/>
    <w:rsid w:val="2C4628DA"/>
    <w:rsid w:val="2C575DDE"/>
    <w:rsid w:val="2C622710"/>
    <w:rsid w:val="2C7A1A31"/>
    <w:rsid w:val="2C7C7D79"/>
    <w:rsid w:val="2C83115A"/>
    <w:rsid w:val="2C9466E2"/>
    <w:rsid w:val="2C9C4E22"/>
    <w:rsid w:val="2CAF6B04"/>
    <w:rsid w:val="2CB0279E"/>
    <w:rsid w:val="2CD12AE5"/>
    <w:rsid w:val="2CDD2E51"/>
    <w:rsid w:val="2D2647FD"/>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51C1A"/>
    <w:rsid w:val="2E9B575E"/>
    <w:rsid w:val="2EB50951"/>
    <w:rsid w:val="2EB673FD"/>
    <w:rsid w:val="2EB809B1"/>
    <w:rsid w:val="2EB81831"/>
    <w:rsid w:val="2ECF7A85"/>
    <w:rsid w:val="2EE054B3"/>
    <w:rsid w:val="2EEB0155"/>
    <w:rsid w:val="2EFA0186"/>
    <w:rsid w:val="2F082BB8"/>
    <w:rsid w:val="2F0F048D"/>
    <w:rsid w:val="2F210BC3"/>
    <w:rsid w:val="2F2B5ABF"/>
    <w:rsid w:val="2F2E604D"/>
    <w:rsid w:val="2F417886"/>
    <w:rsid w:val="2F5D2DA3"/>
    <w:rsid w:val="2F882E85"/>
    <w:rsid w:val="2F9A7F4A"/>
    <w:rsid w:val="2F9E15E7"/>
    <w:rsid w:val="2FB3258A"/>
    <w:rsid w:val="2FC733B8"/>
    <w:rsid w:val="2FCA4F20"/>
    <w:rsid w:val="300C4C70"/>
    <w:rsid w:val="303371BB"/>
    <w:rsid w:val="3044399D"/>
    <w:rsid w:val="30470846"/>
    <w:rsid w:val="30487E8C"/>
    <w:rsid w:val="305868C6"/>
    <w:rsid w:val="305B1097"/>
    <w:rsid w:val="306445C1"/>
    <w:rsid w:val="306F3DBA"/>
    <w:rsid w:val="308640A9"/>
    <w:rsid w:val="30896C6B"/>
    <w:rsid w:val="30B504D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F03E5"/>
    <w:rsid w:val="31E65427"/>
    <w:rsid w:val="31F43BF9"/>
    <w:rsid w:val="31F96A5C"/>
    <w:rsid w:val="31FE3F69"/>
    <w:rsid w:val="31FF4346"/>
    <w:rsid w:val="32006ED8"/>
    <w:rsid w:val="320733C3"/>
    <w:rsid w:val="321C18F4"/>
    <w:rsid w:val="321C2B52"/>
    <w:rsid w:val="321F61EC"/>
    <w:rsid w:val="324032FC"/>
    <w:rsid w:val="324F04DB"/>
    <w:rsid w:val="32503DFA"/>
    <w:rsid w:val="32702FC0"/>
    <w:rsid w:val="327144B7"/>
    <w:rsid w:val="32CA65F9"/>
    <w:rsid w:val="32D942C8"/>
    <w:rsid w:val="33054854"/>
    <w:rsid w:val="33064DC6"/>
    <w:rsid w:val="330A16FB"/>
    <w:rsid w:val="33141FF7"/>
    <w:rsid w:val="333948C8"/>
    <w:rsid w:val="333E0092"/>
    <w:rsid w:val="33482976"/>
    <w:rsid w:val="33506C9F"/>
    <w:rsid w:val="33527CC1"/>
    <w:rsid w:val="3372466D"/>
    <w:rsid w:val="33775E05"/>
    <w:rsid w:val="338574F9"/>
    <w:rsid w:val="33A078AB"/>
    <w:rsid w:val="33A222F8"/>
    <w:rsid w:val="33B85C62"/>
    <w:rsid w:val="33B90357"/>
    <w:rsid w:val="33C3614F"/>
    <w:rsid w:val="33D62B96"/>
    <w:rsid w:val="33E32DB1"/>
    <w:rsid w:val="33FF18B6"/>
    <w:rsid w:val="33FF7460"/>
    <w:rsid w:val="3433755B"/>
    <w:rsid w:val="344127C5"/>
    <w:rsid w:val="34526E6E"/>
    <w:rsid w:val="34553C31"/>
    <w:rsid w:val="345B1895"/>
    <w:rsid w:val="3463085A"/>
    <w:rsid w:val="3485590E"/>
    <w:rsid w:val="34946C2E"/>
    <w:rsid w:val="34A24AD6"/>
    <w:rsid w:val="34C04708"/>
    <w:rsid w:val="34D46D17"/>
    <w:rsid w:val="34FD5844"/>
    <w:rsid w:val="35212D47"/>
    <w:rsid w:val="35280DED"/>
    <w:rsid w:val="35463167"/>
    <w:rsid w:val="35585FE3"/>
    <w:rsid w:val="35665ADB"/>
    <w:rsid w:val="35816EB9"/>
    <w:rsid w:val="35821E3D"/>
    <w:rsid w:val="359F5261"/>
    <w:rsid w:val="35B35F81"/>
    <w:rsid w:val="35C2434B"/>
    <w:rsid w:val="35CB1FB9"/>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B06EC"/>
    <w:rsid w:val="36A57135"/>
    <w:rsid w:val="36AF0D32"/>
    <w:rsid w:val="36C5766F"/>
    <w:rsid w:val="36D704F3"/>
    <w:rsid w:val="36E90250"/>
    <w:rsid w:val="36ED465C"/>
    <w:rsid w:val="36F13515"/>
    <w:rsid w:val="370058B6"/>
    <w:rsid w:val="37066B46"/>
    <w:rsid w:val="37131885"/>
    <w:rsid w:val="3714163A"/>
    <w:rsid w:val="37556EFB"/>
    <w:rsid w:val="37634C0D"/>
    <w:rsid w:val="37635AA2"/>
    <w:rsid w:val="376D038A"/>
    <w:rsid w:val="378D4EC4"/>
    <w:rsid w:val="379127D4"/>
    <w:rsid w:val="37A50A44"/>
    <w:rsid w:val="37B01FC8"/>
    <w:rsid w:val="37D735B7"/>
    <w:rsid w:val="37F7211A"/>
    <w:rsid w:val="37FD2BB1"/>
    <w:rsid w:val="380134EA"/>
    <w:rsid w:val="38115BCA"/>
    <w:rsid w:val="381D63E4"/>
    <w:rsid w:val="383C048E"/>
    <w:rsid w:val="38454C9B"/>
    <w:rsid w:val="385A5B31"/>
    <w:rsid w:val="388116C0"/>
    <w:rsid w:val="388C714F"/>
    <w:rsid w:val="38946C1E"/>
    <w:rsid w:val="38966DB9"/>
    <w:rsid w:val="38B20894"/>
    <w:rsid w:val="38C2768F"/>
    <w:rsid w:val="38E37461"/>
    <w:rsid w:val="38F418EC"/>
    <w:rsid w:val="390C1F07"/>
    <w:rsid w:val="39105A0A"/>
    <w:rsid w:val="391B76F1"/>
    <w:rsid w:val="392245B5"/>
    <w:rsid w:val="39235BBC"/>
    <w:rsid w:val="393D721A"/>
    <w:rsid w:val="393F0F59"/>
    <w:rsid w:val="39456C90"/>
    <w:rsid w:val="394A6B61"/>
    <w:rsid w:val="394F360B"/>
    <w:rsid w:val="39825EF1"/>
    <w:rsid w:val="398636A1"/>
    <w:rsid w:val="39897949"/>
    <w:rsid w:val="399D7118"/>
    <w:rsid w:val="39BC5220"/>
    <w:rsid w:val="39D879D3"/>
    <w:rsid w:val="39D95722"/>
    <w:rsid w:val="39E245E4"/>
    <w:rsid w:val="39FC179E"/>
    <w:rsid w:val="3A014E17"/>
    <w:rsid w:val="3A066018"/>
    <w:rsid w:val="3A27547C"/>
    <w:rsid w:val="3A3871E3"/>
    <w:rsid w:val="3A3C3C45"/>
    <w:rsid w:val="3A663EB0"/>
    <w:rsid w:val="3A87071A"/>
    <w:rsid w:val="3A9B7C92"/>
    <w:rsid w:val="3AAC76F2"/>
    <w:rsid w:val="3AAD5CAC"/>
    <w:rsid w:val="3AAF045C"/>
    <w:rsid w:val="3AC36A2D"/>
    <w:rsid w:val="3AD8079E"/>
    <w:rsid w:val="3AF05E33"/>
    <w:rsid w:val="3AF1344F"/>
    <w:rsid w:val="3B1C5B19"/>
    <w:rsid w:val="3B2301BB"/>
    <w:rsid w:val="3B294F65"/>
    <w:rsid w:val="3B362C4D"/>
    <w:rsid w:val="3B937719"/>
    <w:rsid w:val="3B942B73"/>
    <w:rsid w:val="3B9674D7"/>
    <w:rsid w:val="3BA20424"/>
    <w:rsid w:val="3BAC7F61"/>
    <w:rsid w:val="3BB335AC"/>
    <w:rsid w:val="3BC165FE"/>
    <w:rsid w:val="3BD3067E"/>
    <w:rsid w:val="3BD36FD9"/>
    <w:rsid w:val="3BD53AB5"/>
    <w:rsid w:val="3BEF40B2"/>
    <w:rsid w:val="3BFF61D4"/>
    <w:rsid w:val="3C0104C3"/>
    <w:rsid w:val="3C054F49"/>
    <w:rsid w:val="3C262C87"/>
    <w:rsid w:val="3C3C39A0"/>
    <w:rsid w:val="3C5A7EF6"/>
    <w:rsid w:val="3C696000"/>
    <w:rsid w:val="3C804923"/>
    <w:rsid w:val="3C9A21AA"/>
    <w:rsid w:val="3C9D3765"/>
    <w:rsid w:val="3C9E0FAA"/>
    <w:rsid w:val="3CA30947"/>
    <w:rsid w:val="3CB85542"/>
    <w:rsid w:val="3CC000F8"/>
    <w:rsid w:val="3CDF3D10"/>
    <w:rsid w:val="3CEF5BDF"/>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064EB"/>
    <w:rsid w:val="3E680B7A"/>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1FAB"/>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1151DC"/>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3C2B5F"/>
    <w:rsid w:val="42584818"/>
    <w:rsid w:val="427E48C1"/>
    <w:rsid w:val="42926048"/>
    <w:rsid w:val="429B6E22"/>
    <w:rsid w:val="429C6B61"/>
    <w:rsid w:val="42B61B82"/>
    <w:rsid w:val="42BF4C55"/>
    <w:rsid w:val="42C845D8"/>
    <w:rsid w:val="42F91034"/>
    <w:rsid w:val="43065F42"/>
    <w:rsid w:val="43262E27"/>
    <w:rsid w:val="434841F7"/>
    <w:rsid w:val="434D6B99"/>
    <w:rsid w:val="437F792B"/>
    <w:rsid w:val="43BE214E"/>
    <w:rsid w:val="43ED298C"/>
    <w:rsid w:val="43EF2991"/>
    <w:rsid w:val="43F4696E"/>
    <w:rsid w:val="44465742"/>
    <w:rsid w:val="44597BEE"/>
    <w:rsid w:val="447A4753"/>
    <w:rsid w:val="44A70E24"/>
    <w:rsid w:val="44DD300E"/>
    <w:rsid w:val="44E2656D"/>
    <w:rsid w:val="44F11452"/>
    <w:rsid w:val="45177BA4"/>
    <w:rsid w:val="451C551F"/>
    <w:rsid w:val="451F3CCA"/>
    <w:rsid w:val="45341196"/>
    <w:rsid w:val="45493A4F"/>
    <w:rsid w:val="454E4188"/>
    <w:rsid w:val="45727755"/>
    <w:rsid w:val="45965757"/>
    <w:rsid w:val="459F0617"/>
    <w:rsid w:val="45BA5028"/>
    <w:rsid w:val="45BF44B8"/>
    <w:rsid w:val="45CA6C10"/>
    <w:rsid w:val="45D01294"/>
    <w:rsid w:val="45D94976"/>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C0C3A"/>
    <w:rsid w:val="478D4609"/>
    <w:rsid w:val="478D6A12"/>
    <w:rsid w:val="47962309"/>
    <w:rsid w:val="47A32AF0"/>
    <w:rsid w:val="47AF032C"/>
    <w:rsid w:val="47BA0CEF"/>
    <w:rsid w:val="47E549D2"/>
    <w:rsid w:val="47EA4D37"/>
    <w:rsid w:val="47EC146A"/>
    <w:rsid w:val="48334280"/>
    <w:rsid w:val="48386782"/>
    <w:rsid w:val="48406A1E"/>
    <w:rsid w:val="48455013"/>
    <w:rsid w:val="484B7369"/>
    <w:rsid w:val="487274B4"/>
    <w:rsid w:val="48811612"/>
    <w:rsid w:val="488818E0"/>
    <w:rsid w:val="48A06AAE"/>
    <w:rsid w:val="48AF1FBA"/>
    <w:rsid w:val="48B12BFC"/>
    <w:rsid w:val="48E06989"/>
    <w:rsid w:val="48E92C88"/>
    <w:rsid w:val="48EB1D85"/>
    <w:rsid w:val="494C141C"/>
    <w:rsid w:val="4954359E"/>
    <w:rsid w:val="49821D8D"/>
    <w:rsid w:val="4987544D"/>
    <w:rsid w:val="49AE3D92"/>
    <w:rsid w:val="49BF2772"/>
    <w:rsid w:val="49C15E4E"/>
    <w:rsid w:val="49C47EBE"/>
    <w:rsid w:val="49C55CAD"/>
    <w:rsid w:val="49CA225D"/>
    <w:rsid w:val="49D270B8"/>
    <w:rsid w:val="49D34575"/>
    <w:rsid w:val="4A1203E3"/>
    <w:rsid w:val="4A3C31F7"/>
    <w:rsid w:val="4A863FBD"/>
    <w:rsid w:val="4A892CB4"/>
    <w:rsid w:val="4AA61AD1"/>
    <w:rsid w:val="4AA927DF"/>
    <w:rsid w:val="4AB450E7"/>
    <w:rsid w:val="4AB7011B"/>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8D553B"/>
    <w:rsid w:val="4C904700"/>
    <w:rsid w:val="4C983FA4"/>
    <w:rsid w:val="4C9A5F96"/>
    <w:rsid w:val="4C9B7DE3"/>
    <w:rsid w:val="4CA178A3"/>
    <w:rsid w:val="4CA9023C"/>
    <w:rsid w:val="4CB144C1"/>
    <w:rsid w:val="4CB3138C"/>
    <w:rsid w:val="4CBE1543"/>
    <w:rsid w:val="4CBE4760"/>
    <w:rsid w:val="4CCC2062"/>
    <w:rsid w:val="4CE518D2"/>
    <w:rsid w:val="4CF86DA4"/>
    <w:rsid w:val="4D020DA5"/>
    <w:rsid w:val="4D0D52CB"/>
    <w:rsid w:val="4D3F163A"/>
    <w:rsid w:val="4D566C49"/>
    <w:rsid w:val="4D6037A5"/>
    <w:rsid w:val="4D743AA4"/>
    <w:rsid w:val="4D772BAD"/>
    <w:rsid w:val="4D834946"/>
    <w:rsid w:val="4D993267"/>
    <w:rsid w:val="4DA1355F"/>
    <w:rsid w:val="4DA537BB"/>
    <w:rsid w:val="4DA53A8B"/>
    <w:rsid w:val="4DBB336E"/>
    <w:rsid w:val="4DBE6815"/>
    <w:rsid w:val="4DD27859"/>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A61AB0"/>
    <w:rsid w:val="4FE02223"/>
    <w:rsid w:val="50112EC9"/>
    <w:rsid w:val="5040549D"/>
    <w:rsid w:val="50410D12"/>
    <w:rsid w:val="50437224"/>
    <w:rsid w:val="50490678"/>
    <w:rsid w:val="505A512C"/>
    <w:rsid w:val="5089260D"/>
    <w:rsid w:val="50895295"/>
    <w:rsid w:val="5098572F"/>
    <w:rsid w:val="50B30840"/>
    <w:rsid w:val="50B906DF"/>
    <w:rsid w:val="50CD17A2"/>
    <w:rsid w:val="50F018D3"/>
    <w:rsid w:val="50F47A17"/>
    <w:rsid w:val="50FE3997"/>
    <w:rsid w:val="51336612"/>
    <w:rsid w:val="513D38A6"/>
    <w:rsid w:val="51456AF4"/>
    <w:rsid w:val="515B665B"/>
    <w:rsid w:val="515C1DCC"/>
    <w:rsid w:val="51657C34"/>
    <w:rsid w:val="516C33F5"/>
    <w:rsid w:val="51790E28"/>
    <w:rsid w:val="517C7028"/>
    <w:rsid w:val="519634A4"/>
    <w:rsid w:val="519923F3"/>
    <w:rsid w:val="519B6609"/>
    <w:rsid w:val="51B858B2"/>
    <w:rsid w:val="51BE6CEC"/>
    <w:rsid w:val="51C26588"/>
    <w:rsid w:val="51D82383"/>
    <w:rsid w:val="51DE4114"/>
    <w:rsid w:val="51DF5EE2"/>
    <w:rsid w:val="51E31D3C"/>
    <w:rsid w:val="51F45C0D"/>
    <w:rsid w:val="51F45EC8"/>
    <w:rsid w:val="51FE2E2D"/>
    <w:rsid w:val="520A15B6"/>
    <w:rsid w:val="520F2ED4"/>
    <w:rsid w:val="521402BD"/>
    <w:rsid w:val="522B39FB"/>
    <w:rsid w:val="52391E5F"/>
    <w:rsid w:val="52414E5C"/>
    <w:rsid w:val="52463FBA"/>
    <w:rsid w:val="524A5D65"/>
    <w:rsid w:val="524C1BBF"/>
    <w:rsid w:val="52846B48"/>
    <w:rsid w:val="529526FC"/>
    <w:rsid w:val="52A17AC6"/>
    <w:rsid w:val="52C04D72"/>
    <w:rsid w:val="52CA35B0"/>
    <w:rsid w:val="52D27A41"/>
    <w:rsid w:val="52DD15C5"/>
    <w:rsid w:val="52F63B4F"/>
    <w:rsid w:val="53082F2C"/>
    <w:rsid w:val="53131C59"/>
    <w:rsid w:val="53286C71"/>
    <w:rsid w:val="53345BA9"/>
    <w:rsid w:val="53396085"/>
    <w:rsid w:val="535E791B"/>
    <w:rsid w:val="53670639"/>
    <w:rsid w:val="53B84C8E"/>
    <w:rsid w:val="53E65701"/>
    <w:rsid w:val="53F52A77"/>
    <w:rsid w:val="53FD5774"/>
    <w:rsid w:val="54140D32"/>
    <w:rsid w:val="5414272D"/>
    <w:rsid w:val="542E6AAF"/>
    <w:rsid w:val="543D68D9"/>
    <w:rsid w:val="546F7A15"/>
    <w:rsid w:val="54871B54"/>
    <w:rsid w:val="549F3EDE"/>
    <w:rsid w:val="54AA3CD9"/>
    <w:rsid w:val="54B76615"/>
    <w:rsid w:val="54D31B63"/>
    <w:rsid w:val="54DC038E"/>
    <w:rsid w:val="54EA3219"/>
    <w:rsid w:val="550118A5"/>
    <w:rsid w:val="554860F4"/>
    <w:rsid w:val="55582F0D"/>
    <w:rsid w:val="557A16A0"/>
    <w:rsid w:val="558F2331"/>
    <w:rsid w:val="559A22C4"/>
    <w:rsid w:val="559C2F3F"/>
    <w:rsid w:val="559F228F"/>
    <w:rsid w:val="55B54251"/>
    <w:rsid w:val="55D00DC0"/>
    <w:rsid w:val="55E8090D"/>
    <w:rsid w:val="562A1609"/>
    <w:rsid w:val="563F74A4"/>
    <w:rsid w:val="56473903"/>
    <w:rsid w:val="566B53D2"/>
    <w:rsid w:val="56715C12"/>
    <w:rsid w:val="567B1141"/>
    <w:rsid w:val="5681373E"/>
    <w:rsid w:val="56991451"/>
    <w:rsid w:val="569A3398"/>
    <w:rsid w:val="56AD7471"/>
    <w:rsid w:val="56DF589B"/>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1F5A6F"/>
    <w:rsid w:val="584410CC"/>
    <w:rsid w:val="585712B7"/>
    <w:rsid w:val="58603614"/>
    <w:rsid w:val="58615E6E"/>
    <w:rsid w:val="58635793"/>
    <w:rsid w:val="58894CCC"/>
    <w:rsid w:val="588C11D6"/>
    <w:rsid w:val="58C16B43"/>
    <w:rsid w:val="58EE590D"/>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04CBF"/>
    <w:rsid w:val="5A03208B"/>
    <w:rsid w:val="5A1B27B8"/>
    <w:rsid w:val="5A41505E"/>
    <w:rsid w:val="5A544004"/>
    <w:rsid w:val="5A60385B"/>
    <w:rsid w:val="5AC608F3"/>
    <w:rsid w:val="5ACA2411"/>
    <w:rsid w:val="5AE31485"/>
    <w:rsid w:val="5AE95E59"/>
    <w:rsid w:val="5AF626D8"/>
    <w:rsid w:val="5AF62900"/>
    <w:rsid w:val="5AFC40F3"/>
    <w:rsid w:val="5B03354E"/>
    <w:rsid w:val="5B053218"/>
    <w:rsid w:val="5B0D46E9"/>
    <w:rsid w:val="5B22062D"/>
    <w:rsid w:val="5B241C6D"/>
    <w:rsid w:val="5B2B355B"/>
    <w:rsid w:val="5B3E3090"/>
    <w:rsid w:val="5B413ED9"/>
    <w:rsid w:val="5B736DFC"/>
    <w:rsid w:val="5B74248A"/>
    <w:rsid w:val="5B765981"/>
    <w:rsid w:val="5B7C3A7D"/>
    <w:rsid w:val="5B8675CA"/>
    <w:rsid w:val="5BA652CD"/>
    <w:rsid w:val="5BDA1A02"/>
    <w:rsid w:val="5BDA3815"/>
    <w:rsid w:val="5C0A6081"/>
    <w:rsid w:val="5C100E26"/>
    <w:rsid w:val="5C42687D"/>
    <w:rsid w:val="5C4C3CC9"/>
    <w:rsid w:val="5C4E0CB2"/>
    <w:rsid w:val="5C557C80"/>
    <w:rsid w:val="5C5C59BB"/>
    <w:rsid w:val="5C6A1E8C"/>
    <w:rsid w:val="5C6F3AA2"/>
    <w:rsid w:val="5C85298F"/>
    <w:rsid w:val="5C880C4D"/>
    <w:rsid w:val="5CC44887"/>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45354"/>
    <w:rsid w:val="5DF84369"/>
    <w:rsid w:val="5DF92DCB"/>
    <w:rsid w:val="5E022964"/>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B75E1B"/>
    <w:rsid w:val="5EC56393"/>
    <w:rsid w:val="5EF078DD"/>
    <w:rsid w:val="5EF375B3"/>
    <w:rsid w:val="5EF62DCD"/>
    <w:rsid w:val="5EFB0071"/>
    <w:rsid w:val="5EFE34A1"/>
    <w:rsid w:val="5F173FD8"/>
    <w:rsid w:val="5F3262F4"/>
    <w:rsid w:val="5F5C27E5"/>
    <w:rsid w:val="5F6938A8"/>
    <w:rsid w:val="5F6E2815"/>
    <w:rsid w:val="5F7C06D8"/>
    <w:rsid w:val="5F7C4ADA"/>
    <w:rsid w:val="5F7F4DB5"/>
    <w:rsid w:val="5F9B33CA"/>
    <w:rsid w:val="5F9E02EC"/>
    <w:rsid w:val="5FA1081C"/>
    <w:rsid w:val="5FA8193B"/>
    <w:rsid w:val="5FBC175A"/>
    <w:rsid w:val="5FD9462B"/>
    <w:rsid w:val="5FE061B9"/>
    <w:rsid w:val="5FEB5761"/>
    <w:rsid w:val="5FFB6305"/>
    <w:rsid w:val="60011320"/>
    <w:rsid w:val="601D6AD2"/>
    <w:rsid w:val="60267D5D"/>
    <w:rsid w:val="604100BA"/>
    <w:rsid w:val="6057025C"/>
    <w:rsid w:val="606F133D"/>
    <w:rsid w:val="607B07D5"/>
    <w:rsid w:val="60916901"/>
    <w:rsid w:val="60993336"/>
    <w:rsid w:val="609949E1"/>
    <w:rsid w:val="60A27DAC"/>
    <w:rsid w:val="60B91733"/>
    <w:rsid w:val="60E34759"/>
    <w:rsid w:val="61001F3F"/>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722F8"/>
    <w:rsid w:val="62190F45"/>
    <w:rsid w:val="62193B80"/>
    <w:rsid w:val="621B4181"/>
    <w:rsid w:val="62216BE1"/>
    <w:rsid w:val="62353B47"/>
    <w:rsid w:val="624076D6"/>
    <w:rsid w:val="62474646"/>
    <w:rsid w:val="62511DE0"/>
    <w:rsid w:val="628C53F9"/>
    <w:rsid w:val="62937829"/>
    <w:rsid w:val="62A20B07"/>
    <w:rsid w:val="62A414E0"/>
    <w:rsid w:val="62BA5904"/>
    <w:rsid w:val="62CC77CB"/>
    <w:rsid w:val="62F3784F"/>
    <w:rsid w:val="62FF3FB5"/>
    <w:rsid w:val="63021DE2"/>
    <w:rsid w:val="63112339"/>
    <w:rsid w:val="631F66C3"/>
    <w:rsid w:val="632C21E9"/>
    <w:rsid w:val="632C2662"/>
    <w:rsid w:val="633A0F04"/>
    <w:rsid w:val="6340127C"/>
    <w:rsid w:val="63654FE0"/>
    <w:rsid w:val="637970C3"/>
    <w:rsid w:val="63AA5332"/>
    <w:rsid w:val="63AB18A5"/>
    <w:rsid w:val="63C61233"/>
    <w:rsid w:val="63FF6AFB"/>
    <w:rsid w:val="64142736"/>
    <w:rsid w:val="642A2A58"/>
    <w:rsid w:val="64391A57"/>
    <w:rsid w:val="64585109"/>
    <w:rsid w:val="645F7031"/>
    <w:rsid w:val="64815027"/>
    <w:rsid w:val="64881679"/>
    <w:rsid w:val="649F7EFD"/>
    <w:rsid w:val="64A67ACD"/>
    <w:rsid w:val="64B23DB4"/>
    <w:rsid w:val="64B55A95"/>
    <w:rsid w:val="64B64B66"/>
    <w:rsid w:val="64B86E2A"/>
    <w:rsid w:val="64C12A40"/>
    <w:rsid w:val="64C15487"/>
    <w:rsid w:val="64C51685"/>
    <w:rsid w:val="64E20F48"/>
    <w:rsid w:val="65137300"/>
    <w:rsid w:val="6526740F"/>
    <w:rsid w:val="6556674F"/>
    <w:rsid w:val="655F2B6C"/>
    <w:rsid w:val="65862CD9"/>
    <w:rsid w:val="6588686F"/>
    <w:rsid w:val="659E46D8"/>
    <w:rsid w:val="65A57048"/>
    <w:rsid w:val="65B50E5A"/>
    <w:rsid w:val="65D54781"/>
    <w:rsid w:val="660867AF"/>
    <w:rsid w:val="66245293"/>
    <w:rsid w:val="662D27C6"/>
    <w:rsid w:val="66452970"/>
    <w:rsid w:val="66452FE9"/>
    <w:rsid w:val="668D7DF1"/>
    <w:rsid w:val="66D04B5E"/>
    <w:rsid w:val="66D60DB1"/>
    <w:rsid w:val="66E561D8"/>
    <w:rsid w:val="66F00AF0"/>
    <w:rsid w:val="6700750E"/>
    <w:rsid w:val="672F7A26"/>
    <w:rsid w:val="67580868"/>
    <w:rsid w:val="67610EFA"/>
    <w:rsid w:val="678D5B85"/>
    <w:rsid w:val="67904419"/>
    <w:rsid w:val="67995A29"/>
    <w:rsid w:val="67A00193"/>
    <w:rsid w:val="67AC5234"/>
    <w:rsid w:val="67AE56BB"/>
    <w:rsid w:val="67B563BE"/>
    <w:rsid w:val="67C110EB"/>
    <w:rsid w:val="67DC482A"/>
    <w:rsid w:val="67E55620"/>
    <w:rsid w:val="67EA5494"/>
    <w:rsid w:val="67EB5FE1"/>
    <w:rsid w:val="67ED1ADF"/>
    <w:rsid w:val="67FC2BE7"/>
    <w:rsid w:val="68091997"/>
    <w:rsid w:val="680D19BB"/>
    <w:rsid w:val="6815717B"/>
    <w:rsid w:val="681A376C"/>
    <w:rsid w:val="681A46E7"/>
    <w:rsid w:val="681B7F08"/>
    <w:rsid w:val="68221A8C"/>
    <w:rsid w:val="68347A35"/>
    <w:rsid w:val="684D6D87"/>
    <w:rsid w:val="684F6446"/>
    <w:rsid w:val="685036D0"/>
    <w:rsid w:val="68525B9B"/>
    <w:rsid w:val="688432AD"/>
    <w:rsid w:val="6886482A"/>
    <w:rsid w:val="688E57BC"/>
    <w:rsid w:val="68904BFB"/>
    <w:rsid w:val="689D29D5"/>
    <w:rsid w:val="68A0499E"/>
    <w:rsid w:val="68A36E99"/>
    <w:rsid w:val="68AE3670"/>
    <w:rsid w:val="68C332BA"/>
    <w:rsid w:val="68C708F2"/>
    <w:rsid w:val="68D56251"/>
    <w:rsid w:val="68EF5946"/>
    <w:rsid w:val="68F25DFA"/>
    <w:rsid w:val="68FF6567"/>
    <w:rsid w:val="69022574"/>
    <w:rsid w:val="690C2039"/>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4602EF"/>
    <w:rsid w:val="6A551347"/>
    <w:rsid w:val="6A5660EE"/>
    <w:rsid w:val="6A5D1911"/>
    <w:rsid w:val="6A9635F7"/>
    <w:rsid w:val="6A9F3407"/>
    <w:rsid w:val="6AA45AEE"/>
    <w:rsid w:val="6AAA05A9"/>
    <w:rsid w:val="6AE60B4C"/>
    <w:rsid w:val="6AEF06AE"/>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C3CC0"/>
    <w:rsid w:val="6C517C19"/>
    <w:rsid w:val="6C547454"/>
    <w:rsid w:val="6C5648D5"/>
    <w:rsid w:val="6C6D30BE"/>
    <w:rsid w:val="6C740601"/>
    <w:rsid w:val="6C842DAB"/>
    <w:rsid w:val="6C8A5474"/>
    <w:rsid w:val="6CD85C69"/>
    <w:rsid w:val="6D464DCC"/>
    <w:rsid w:val="6D616216"/>
    <w:rsid w:val="6D932C97"/>
    <w:rsid w:val="6DA225C5"/>
    <w:rsid w:val="6DB630F7"/>
    <w:rsid w:val="6DBF57D4"/>
    <w:rsid w:val="6DDE3C2C"/>
    <w:rsid w:val="6E04099A"/>
    <w:rsid w:val="6E0E61FC"/>
    <w:rsid w:val="6E3101C1"/>
    <w:rsid w:val="6E451A64"/>
    <w:rsid w:val="6E62428C"/>
    <w:rsid w:val="6E67698D"/>
    <w:rsid w:val="6E6839F7"/>
    <w:rsid w:val="6E733F82"/>
    <w:rsid w:val="6E804B5F"/>
    <w:rsid w:val="6E874489"/>
    <w:rsid w:val="6E960A52"/>
    <w:rsid w:val="6EA0744D"/>
    <w:rsid w:val="6EA3291D"/>
    <w:rsid w:val="6EA67504"/>
    <w:rsid w:val="6EC70C19"/>
    <w:rsid w:val="6EDD75A0"/>
    <w:rsid w:val="6EE73EE7"/>
    <w:rsid w:val="6EFB5925"/>
    <w:rsid w:val="6F0D2298"/>
    <w:rsid w:val="6F145E1F"/>
    <w:rsid w:val="6F276C23"/>
    <w:rsid w:val="6F363FF4"/>
    <w:rsid w:val="6F37324B"/>
    <w:rsid w:val="6F4B77AB"/>
    <w:rsid w:val="6F59783E"/>
    <w:rsid w:val="6F5A407F"/>
    <w:rsid w:val="6F5F69C4"/>
    <w:rsid w:val="6F9045BD"/>
    <w:rsid w:val="6F991282"/>
    <w:rsid w:val="6F9A4BFC"/>
    <w:rsid w:val="6FAD4095"/>
    <w:rsid w:val="6FB963FA"/>
    <w:rsid w:val="6FD071A2"/>
    <w:rsid w:val="6FD57D31"/>
    <w:rsid w:val="6FD969D9"/>
    <w:rsid w:val="6FDF42CC"/>
    <w:rsid w:val="700A32D4"/>
    <w:rsid w:val="70143D7F"/>
    <w:rsid w:val="702A534B"/>
    <w:rsid w:val="702F1378"/>
    <w:rsid w:val="70394E16"/>
    <w:rsid w:val="703B2856"/>
    <w:rsid w:val="70512274"/>
    <w:rsid w:val="707136A0"/>
    <w:rsid w:val="7071512F"/>
    <w:rsid w:val="70836044"/>
    <w:rsid w:val="70963635"/>
    <w:rsid w:val="709E757C"/>
    <w:rsid w:val="70AB6982"/>
    <w:rsid w:val="70B960E4"/>
    <w:rsid w:val="70BD0161"/>
    <w:rsid w:val="70CE2945"/>
    <w:rsid w:val="70D75CB4"/>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B0A21"/>
    <w:rsid w:val="71CC7EBE"/>
    <w:rsid w:val="71D20555"/>
    <w:rsid w:val="71D43EDC"/>
    <w:rsid w:val="71DA77B8"/>
    <w:rsid w:val="71EA67D9"/>
    <w:rsid w:val="720661F3"/>
    <w:rsid w:val="722766A6"/>
    <w:rsid w:val="72312C6E"/>
    <w:rsid w:val="72355C90"/>
    <w:rsid w:val="72370EF3"/>
    <w:rsid w:val="723D4E37"/>
    <w:rsid w:val="723E1C2C"/>
    <w:rsid w:val="724A0B59"/>
    <w:rsid w:val="724B3C7A"/>
    <w:rsid w:val="724F48F3"/>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39443F"/>
    <w:rsid w:val="733B3816"/>
    <w:rsid w:val="73795D74"/>
    <w:rsid w:val="739509FA"/>
    <w:rsid w:val="73A80755"/>
    <w:rsid w:val="73C4164C"/>
    <w:rsid w:val="73CC653A"/>
    <w:rsid w:val="73D159A1"/>
    <w:rsid w:val="73D217D6"/>
    <w:rsid w:val="73F35C20"/>
    <w:rsid w:val="73F8462A"/>
    <w:rsid w:val="741D2D43"/>
    <w:rsid w:val="745F4062"/>
    <w:rsid w:val="74D97110"/>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11A8"/>
    <w:rsid w:val="75CA48E7"/>
    <w:rsid w:val="75E027FD"/>
    <w:rsid w:val="761A210B"/>
    <w:rsid w:val="76351D9E"/>
    <w:rsid w:val="765629A7"/>
    <w:rsid w:val="76752691"/>
    <w:rsid w:val="76924971"/>
    <w:rsid w:val="76933E2E"/>
    <w:rsid w:val="76A27B4C"/>
    <w:rsid w:val="76A61832"/>
    <w:rsid w:val="76B918A6"/>
    <w:rsid w:val="76BC587C"/>
    <w:rsid w:val="76BF7808"/>
    <w:rsid w:val="76C00AFC"/>
    <w:rsid w:val="76C07136"/>
    <w:rsid w:val="76ED1347"/>
    <w:rsid w:val="76F433E8"/>
    <w:rsid w:val="771946D8"/>
    <w:rsid w:val="772268FD"/>
    <w:rsid w:val="773C2496"/>
    <w:rsid w:val="77474684"/>
    <w:rsid w:val="775666E2"/>
    <w:rsid w:val="77653ACC"/>
    <w:rsid w:val="77747DD3"/>
    <w:rsid w:val="77833A8B"/>
    <w:rsid w:val="778E6A95"/>
    <w:rsid w:val="77A82770"/>
    <w:rsid w:val="77BD7E72"/>
    <w:rsid w:val="77D20625"/>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352CB9"/>
    <w:rsid w:val="7964511F"/>
    <w:rsid w:val="79817A06"/>
    <w:rsid w:val="79824E81"/>
    <w:rsid w:val="79956A1C"/>
    <w:rsid w:val="799E7491"/>
    <w:rsid w:val="799F3F47"/>
    <w:rsid w:val="79A72484"/>
    <w:rsid w:val="79BA471D"/>
    <w:rsid w:val="79DF005F"/>
    <w:rsid w:val="79E028EC"/>
    <w:rsid w:val="79E02965"/>
    <w:rsid w:val="79EC4552"/>
    <w:rsid w:val="79F52174"/>
    <w:rsid w:val="7A114E8A"/>
    <w:rsid w:val="7A1C5B1C"/>
    <w:rsid w:val="7A233119"/>
    <w:rsid w:val="7A2D6C9D"/>
    <w:rsid w:val="7A3D2BFF"/>
    <w:rsid w:val="7A4653BA"/>
    <w:rsid w:val="7A561B0C"/>
    <w:rsid w:val="7A765EEC"/>
    <w:rsid w:val="7A773B5D"/>
    <w:rsid w:val="7A790CA9"/>
    <w:rsid w:val="7AB0523D"/>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662E3"/>
    <w:rsid w:val="7C071C5F"/>
    <w:rsid w:val="7C1311BA"/>
    <w:rsid w:val="7C194469"/>
    <w:rsid w:val="7C1A6CD5"/>
    <w:rsid w:val="7C2630F4"/>
    <w:rsid w:val="7C3A066B"/>
    <w:rsid w:val="7C45471C"/>
    <w:rsid w:val="7C532E05"/>
    <w:rsid w:val="7C7E27D3"/>
    <w:rsid w:val="7C7F3629"/>
    <w:rsid w:val="7C8A0AC8"/>
    <w:rsid w:val="7C8B7A6D"/>
    <w:rsid w:val="7C90110D"/>
    <w:rsid w:val="7C9B6AF6"/>
    <w:rsid w:val="7CA34622"/>
    <w:rsid w:val="7CBE31E4"/>
    <w:rsid w:val="7CC90590"/>
    <w:rsid w:val="7CE16335"/>
    <w:rsid w:val="7CE46106"/>
    <w:rsid w:val="7D2F6FF7"/>
    <w:rsid w:val="7D30068E"/>
    <w:rsid w:val="7D303FCF"/>
    <w:rsid w:val="7D332F6D"/>
    <w:rsid w:val="7D3446E3"/>
    <w:rsid w:val="7D3A1A33"/>
    <w:rsid w:val="7D3D587B"/>
    <w:rsid w:val="7D4435DF"/>
    <w:rsid w:val="7D4B267A"/>
    <w:rsid w:val="7D5C75F5"/>
    <w:rsid w:val="7D694213"/>
    <w:rsid w:val="7D6E6D2F"/>
    <w:rsid w:val="7D8E59B8"/>
    <w:rsid w:val="7DAF496C"/>
    <w:rsid w:val="7DB838C8"/>
    <w:rsid w:val="7DC23C3E"/>
    <w:rsid w:val="7DCA5633"/>
    <w:rsid w:val="7DF46E1B"/>
    <w:rsid w:val="7DF876FC"/>
    <w:rsid w:val="7DFF2F29"/>
    <w:rsid w:val="7E0464CE"/>
    <w:rsid w:val="7E202324"/>
    <w:rsid w:val="7E2C2660"/>
    <w:rsid w:val="7E476D34"/>
    <w:rsid w:val="7E6D6DAE"/>
    <w:rsid w:val="7E6F3FB2"/>
    <w:rsid w:val="7E957586"/>
    <w:rsid w:val="7E9B11AA"/>
    <w:rsid w:val="7E9B3B6E"/>
    <w:rsid w:val="7EA32AD0"/>
    <w:rsid w:val="7ED55007"/>
    <w:rsid w:val="7ED953E3"/>
    <w:rsid w:val="7EDD519A"/>
    <w:rsid w:val="7EED571C"/>
    <w:rsid w:val="7EF765D0"/>
    <w:rsid w:val="7EF87C96"/>
    <w:rsid w:val="7F086927"/>
    <w:rsid w:val="7F215D8A"/>
    <w:rsid w:val="7F301B1E"/>
    <w:rsid w:val="7F375D0A"/>
    <w:rsid w:val="7F500CBA"/>
    <w:rsid w:val="7F587DE1"/>
    <w:rsid w:val="7F61016D"/>
    <w:rsid w:val="7F663DC2"/>
    <w:rsid w:val="7F6C2E2F"/>
    <w:rsid w:val="7F6D28E2"/>
    <w:rsid w:val="7F76338E"/>
    <w:rsid w:val="7F820D78"/>
    <w:rsid w:val="7F833806"/>
    <w:rsid w:val="7F935AA2"/>
    <w:rsid w:val="7FA51E6D"/>
    <w:rsid w:val="7FC76DE8"/>
    <w:rsid w:val="7FF95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C5DD"/>
  <w15:docId w15:val="{318E2445-E7FE-4306-9F2F-AAC6AEE4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549A"/>
    <w:pPr>
      <w:spacing w:after="200" w:line="276" w:lineRule="auto"/>
    </w:pPr>
    <w:rPr>
      <w:rFonts w:eastAsia="t"/>
      <w:szCs w:val="22"/>
      <w:lang w:val="en-US"/>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lang w:val="en-US"/>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lang w:val="en-US"/>
    </w:rPr>
  </w:style>
  <w:style w:type="paragraph" w:customStyle="1" w:styleId="NoSpacing1">
    <w:name w:val="No Spacing1"/>
    <w:uiPriority w:val="1"/>
    <w:qFormat/>
    <w:pPr>
      <w:spacing w:after="160" w:line="259" w:lineRule="auto"/>
    </w:pPr>
    <w:rPr>
      <w:sz w:val="22"/>
      <w:szCs w:val="22"/>
      <w:lang w:val="en-US"/>
    </w:rPr>
  </w:style>
  <w:style w:type="paragraph" w:customStyle="1" w:styleId="-110">
    <w:name w:val="彩色底纹 - 强调文字颜色 11"/>
    <w:uiPriority w:val="71"/>
    <w:qFormat/>
    <w:pPr>
      <w:spacing w:after="160" w:line="259" w:lineRule="auto"/>
    </w:pPr>
    <w:rPr>
      <w:sz w:val="22"/>
      <w:szCs w:val="22"/>
      <w:lang w:val="en-US"/>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lang w:val="en-US"/>
    </w:rPr>
  </w:style>
  <w:style w:type="paragraph" w:customStyle="1" w:styleId="Style1">
    <w:name w:val="_Style 1"/>
    <w:uiPriority w:val="99"/>
    <w:qFormat/>
    <w:pPr>
      <w:spacing w:after="160" w:line="259" w:lineRule="auto"/>
    </w:pPr>
    <w:rPr>
      <w:sz w:val="22"/>
      <w:szCs w:val="22"/>
      <w:lang w:val="en-US"/>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lang w:val="en-US"/>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lang w:val="en-US"/>
    </w:rPr>
  </w:style>
  <w:style w:type="paragraph" w:customStyle="1" w:styleId="17">
    <w:name w:val="样式1"/>
    <w:basedOn w:val="a"/>
    <w:link w:val="1Char"/>
    <w:qFormat/>
    <w:pPr>
      <w:snapToGrid w:val="0"/>
      <w:spacing w:before="120" w:afterLines="5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lang w:val="en-US"/>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lang w:val="en-US"/>
    </w:rPr>
  </w:style>
  <w:style w:type="paragraph" w:customStyle="1" w:styleId="Revision1">
    <w:name w:val="Revision1"/>
    <w:hidden/>
    <w:uiPriority w:val="99"/>
    <w:semiHidden/>
    <w:qFormat/>
    <w:pPr>
      <w:spacing w:after="160" w:line="259" w:lineRule="auto"/>
    </w:pPr>
    <w:rPr>
      <w:rFonts w:eastAsia="t"/>
      <w:szCs w:val="22"/>
      <w:lang w:val="en-US"/>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1a">
    <w:name w:val="列表段落1"/>
    <w:basedOn w:val="a"/>
    <w:qFormat/>
    <w:pPr>
      <w:autoSpaceDE w:val="0"/>
      <w:autoSpaceDN w:val="0"/>
      <w:adjustRightInd w:val="0"/>
      <w:snapToGrid w:val="0"/>
      <w:spacing w:before="100" w:beforeAutospacing="1" w:after="120" w:line="240" w:lineRule="auto"/>
      <w:ind w:firstLineChars="200" w:firstLine="420"/>
      <w:jc w:val="both"/>
    </w:pPr>
    <w:rPr>
      <w:rFonts w:eastAsia="宋体"/>
      <w:sz w:val="22"/>
    </w:rPr>
  </w:style>
  <w:style w:type="paragraph" w:customStyle="1" w:styleId="Style124">
    <w:name w:val="_Style 124"/>
    <w:basedOn w:val="a"/>
    <w:next w:val="aff0"/>
    <w:uiPriority w:val="34"/>
    <w:qFormat/>
    <w:pPr>
      <w:overflowPunct w:val="0"/>
      <w:autoSpaceDE w:val="0"/>
      <w:autoSpaceDN w:val="0"/>
      <w:adjustRightInd w:val="0"/>
      <w:spacing w:after="180" w:line="240" w:lineRule="auto"/>
      <w:ind w:firstLineChars="200" w:firstLine="420"/>
      <w:textAlignment w:val="baseline"/>
    </w:pPr>
    <w:rPr>
      <w:rFonts w:eastAsia="宋体"/>
      <w:szCs w:val="20"/>
      <w:lang w:val="en-GB" w:eastAsia="ja-JP"/>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eastAsiaTheme="minorEastAsia"/>
      <w:sz w:val="24"/>
      <w:szCs w:val="20"/>
      <w:lang w:val="en-GB" w:eastAsia="en-US"/>
    </w:rPr>
  </w:style>
  <w:style w:type="character" w:customStyle="1" w:styleId="enumlev1Char">
    <w:name w:val="enumlev1 Char"/>
    <w:basedOn w:val="a0"/>
    <w:link w:val="enumlev1"/>
    <w:qFormat/>
    <w:rPr>
      <w:rFonts w:eastAsiaTheme="minorEastAsia"/>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Theme="minorEastAsia"/>
      <w:szCs w:val="20"/>
      <w:lang w:val="en-GB" w:eastAsia="en-US"/>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eastAsiaTheme="minorEastAsia"/>
      <w:sz w:val="22"/>
      <w:szCs w:val="20"/>
      <w:lang w:val="en-GB" w:eastAsia="en-US"/>
    </w:rPr>
  </w:style>
  <w:style w:type="paragraph" w:customStyle="1" w:styleId="Tablehead">
    <w:name w:val="Table_head"/>
    <w:basedOn w:val="a"/>
    <w:qFormat/>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heme="minorEastAsia" w:hAnsi="Times New Roman Bold" w:cs="Times New Roman Bold"/>
      <w:b/>
      <w:szCs w:val="20"/>
      <w:lang w:val="en-GB" w:eastAsia="en-US"/>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szCs w:val="20"/>
      <w:lang w:val="en-GB" w:eastAsia="en-US"/>
    </w:rPr>
  </w:style>
  <w:style w:type="character" w:customStyle="1" w:styleId="TabletextChar">
    <w:name w:val="Table_text Char"/>
    <w:basedOn w:val="a0"/>
    <w:link w:val="Tabletext"/>
    <w:qFormat/>
    <w:locked/>
    <w:rPr>
      <w:rFonts w:eastAsiaTheme="minorEastAsia"/>
      <w:lang w:val="en-GB" w:eastAsia="en-US"/>
    </w:rPr>
  </w:style>
  <w:style w:type="character" w:customStyle="1" w:styleId="150">
    <w:name w:val="15"/>
    <w:basedOn w:val="a0"/>
    <w:qFormat/>
    <w:rPr>
      <w:rFonts w:ascii="Times New Roman" w:hAnsi="Times New Roman" w:cs="Times New Roman" w:hint="default"/>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after="0" w:line="240" w:lineRule="auto"/>
      <w:textAlignment w:val="baseline"/>
    </w:pPr>
    <w:rPr>
      <w:rFonts w:eastAsiaTheme="minorEastAsia"/>
      <w:sz w:val="24"/>
      <w:szCs w:val="20"/>
      <w:lang w:val="en-GB"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enumlev2">
    <w:name w:val="enumlev2"/>
    <w:basedOn w:val="enumlev1"/>
    <w:qFormat/>
    <w:pPr>
      <w:tabs>
        <w:tab w:val="clear" w:pos="1134"/>
        <w:tab w:val="clear" w:pos="1871"/>
        <w:tab w:val="clear" w:pos="2608"/>
        <w:tab w:val="clear" w:pos="3345"/>
      </w:tabs>
      <w:spacing w:after="100" w:afterAutospacing="1"/>
      <w:ind w:left="1871" w:hanging="737"/>
    </w:pPr>
    <w:rPr>
      <w:rFonts w:eastAsia="宋体"/>
      <w:szCs w:val="24"/>
      <w:lang w:val="en-US" w:eastAsia="zh-CN"/>
    </w:rPr>
  </w:style>
  <w:style w:type="paragraph" w:customStyle="1" w:styleId="50">
    <w:name w:val="正文5"/>
    <w:qFormat/>
    <w:pPr>
      <w:jc w:val="both"/>
    </w:pPr>
    <w:rPr>
      <w:kern w:val="2"/>
      <w:sz w:val="21"/>
      <w:szCs w:val="21"/>
      <w:lang w:val="en-US"/>
    </w:rPr>
  </w:style>
  <w:style w:type="paragraph" w:customStyle="1" w:styleId="22">
    <w:name w:val="修订2"/>
    <w:hidden/>
    <w:uiPriority w:val="99"/>
    <w:semiHidden/>
    <w:qFormat/>
    <w:rPr>
      <w:rFonts w:eastAsia="t"/>
      <w:szCs w:val="22"/>
      <w:lang w:val="en-US"/>
    </w:rPr>
  </w:style>
  <w:style w:type="paragraph" w:customStyle="1" w:styleId="EditorsNote">
    <w:name w:val="EditorsNote"/>
    <w:basedOn w:val="a"/>
    <w:qFormat/>
    <w:pPr>
      <w:tabs>
        <w:tab w:val="left" w:pos="1134"/>
        <w:tab w:val="left" w:pos="1871"/>
        <w:tab w:val="left" w:pos="2268"/>
      </w:tabs>
      <w:spacing w:before="240" w:after="240"/>
    </w:pPr>
    <w:rPr>
      <w:i/>
      <w:iCs/>
    </w:rPr>
  </w:style>
  <w:style w:type="paragraph" w:customStyle="1" w:styleId="Headingb">
    <w:name w:val="Heading_b"/>
    <w:basedOn w:val="a"/>
    <w:next w:val="a"/>
    <w:qFormat/>
    <w:pPr>
      <w:keepNext/>
      <w:keepLines/>
      <w:tabs>
        <w:tab w:val="left" w:pos="1134"/>
        <w:tab w:val="left" w:pos="1871"/>
        <w:tab w:val="left" w:pos="2268"/>
      </w:tabs>
      <w:spacing w:before="160"/>
    </w:pPr>
    <w:rPr>
      <w:rFonts w:ascii="Times New Roman Bold" w:hAnsi="Times New Roman Bold" w:cs="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389691">
      <w:bodyDiv w:val="1"/>
      <w:marLeft w:val="0"/>
      <w:marRight w:val="0"/>
      <w:marTop w:val="0"/>
      <w:marBottom w:val="0"/>
      <w:divBdr>
        <w:top w:val="none" w:sz="0" w:space="0" w:color="auto"/>
        <w:left w:val="none" w:sz="0" w:space="0" w:color="auto"/>
        <w:bottom w:val="none" w:sz="0" w:space="0" w:color="auto"/>
        <w:right w:val="none" w:sz="0" w:space="0" w:color="auto"/>
      </w:divBdr>
      <w:divsChild>
        <w:div w:id="251478177">
          <w:marLeft w:val="1872"/>
          <w:marRight w:val="0"/>
          <w:marTop w:val="120"/>
          <w:marBottom w:val="120"/>
          <w:divBdr>
            <w:top w:val="none" w:sz="0" w:space="0" w:color="auto"/>
            <w:left w:val="none" w:sz="0" w:space="0" w:color="auto"/>
            <w:bottom w:val="none" w:sz="0" w:space="0" w:color="auto"/>
            <w:right w:val="none" w:sz="0" w:space="0" w:color="auto"/>
          </w:divBdr>
        </w:div>
        <w:div w:id="1517423219">
          <w:marLeft w:val="2592"/>
          <w:marRight w:val="0"/>
          <w:marTop w:val="120"/>
          <w:marBottom w:val="120"/>
          <w:divBdr>
            <w:top w:val="none" w:sz="0" w:space="0" w:color="auto"/>
            <w:left w:val="none" w:sz="0" w:space="0" w:color="auto"/>
            <w:bottom w:val="none" w:sz="0" w:space="0" w:color="auto"/>
            <w:right w:val="none" w:sz="0" w:space="0" w:color="auto"/>
          </w:divBdr>
        </w:div>
        <w:div w:id="17004067">
          <w:marLeft w:val="2592"/>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ITU\3GPP\DL%20SLS%20on%20U6G%2020241011_zmq_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Dense</a:t>
            </a:r>
            <a:r>
              <a:rPr lang="en-US" altLang="zh-CN" baseline="0"/>
              <a:t> Urban DL spectral efficiency</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barChart>
        <c:barDir val="col"/>
        <c:grouping val="clustered"/>
        <c:varyColors val="0"/>
        <c:ser>
          <c:idx val="0"/>
          <c:order val="0"/>
          <c:tx>
            <c:strRef>
              <c:f>Sheet1!$F$101</c:f>
              <c:strCache>
                <c:ptCount val="1"/>
                <c:pt idx="0">
                  <c:v>Average SE</c:v>
                </c:pt>
              </c:strCache>
            </c:strRef>
          </c:tx>
          <c:spPr>
            <a:solidFill>
              <a:schemeClr val="accent1"/>
            </a:solidFill>
            <a:ln>
              <a:noFill/>
            </a:ln>
            <a:effectLst/>
          </c:spPr>
          <c:invertIfNegative val="0"/>
          <c:cat>
            <c:strRef>
              <c:f>Sheet1!$E$102:$E$109</c:f>
              <c:strCache>
                <c:ptCount val="8"/>
                <c:pt idx="0">
                  <c:v>256T8R</c:v>
                </c:pt>
                <c:pt idx="1">
                  <c:v>128T8R</c:v>
                </c:pt>
                <c:pt idx="2">
                  <c:v>32T8R</c:v>
                </c:pt>
                <c:pt idx="3">
                  <c:v>512T4R</c:v>
                </c:pt>
                <c:pt idx="4">
                  <c:v>256T4R</c:v>
                </c:pt>
                <c:pt idx="5">
                  <c:v>128T4R</c:v>
                </c:pt>
                <c:pt idx="6">
                  <c:v>32T4R</c:v>
                </c:pt>
                <c:pt idx="7">
                  <c:v>IMT-2020</c:v>
                </c:pt>
              </c:strCache>
            </c:strRef>
          </c:cat>
          <c:val>
            <c:numRef>
              <c:f>Sheet1!$F$102:$F$109</c:f>
              <c:numCache>
                <c:formatCode>0.00_ </c:formatCode>
                <c:ptCount val="8"/>
                <c:pt idx="0">
                  <c:v>4.3341025641025599</c:v>
                </c:pt>
                <c:pt idx="1">
                  <c:v>3.64358974358974</c:v>
                </c:pt>
                <c:pt idx="2">
                  <c:v>1.33448717948718</c:v>
                </c:pt>
                <c:pt idx="3">
                  <c:v>3.1262820512820499</c:v>
                </c:pt>
                <c:pt idx="4">
                  <c:v>2.04320512820513</c:v>
                </c:pt>
                <c:pt idx="5">
                  <c:v>1.54538461538462</c:v>
                </c:pt>
                <c:pt idx="6">
                  <c:v>0.45217948717948703</c:v>
                </c:pt>
                <c:pt idx="7">
                  <c:v>1</c:v>
                </c:pt>
              </c:numCache>
            </c:numRef>
          </c:val>
          <c:extLst>
            <c:ext xmlns:c16="http://schemas.microsoft.com/office/drawing/2014/chart" uri="{C3380CC4-5D6E-409C-BE32-E72D297353CC}">
              <c16:uniqueId val="{00000000-F594-49F2-BF6E-CCDD9C35C008}"/>
            </c:ext>
          </c:extLst>
        </c:ser>
        <c:ser>
          <c:idx val="1"/>
          <c:order val="1"/>
          <c:tx>
            <c:strRef>
              <c:f>Sheet1!$G$101</c:f>
              <c:strCache>
                <c:ptCount val="1"/>
                <c:pt idx="0">
                  <c:v>5th SE</c:v>
                </c:pt>
              </c:strCache>
            </c:strRef>
          </c:tx>
          <c:spPr>
            <a:solidFill>
              <a:schemeClr val="accent2"/>
            </a:solidFill>
            <a:ln>
              <a:noFill/>
            </a:ln>
            <a:effectLst/>
          </c:spPr>
          <c:invertIfNegative val="0"/>
          <c:cat>
            <c:strRef>
              <c:f>Sheet1!$E$102:$E$109</c:f>
              <c:strCache>
                <c:ptCount val="8"/>
                <c:pt idx="0">
                  <c:v>256T8R</c:v>
                </c:pt>
                <c:pt idx="1">
                  <c:v>128T8R</c:v>
                </c:pt>
                <c:pt idx="2">
                  <c:v>32T8R</c:v>
                </c:pt>
                <c:pt idx="3">
                  <c:v>512T4R</c:v>
                </c:pt>
                <c:pt idx="4">
                  <c:v>256T4R</c:v>
                </c:pt>
                <c:pt idx="5">
                  <c:v>128T4R</c:v>
                </c:pt>
                <c:pt idx="6">
                  <c:v>32T4R</c:v>
                </c:pt>
                <c:pt idx="7">
                  <c:v>IMT-2020</c:v>
                </c:pt>
              </c:strCache>
            </c:strRef>
          </c:cat>
          <c:val>
            <c:numRef>
              <c:f>Sheet1!$G$102:$G$109</c:f>
              <c:numCache>
                <c:formatCode>0.00_ </c:formatCode>
                <c:ptCount val="8"/>
                <c:pt idx="0">
                  <c:v>43.204444444444398</c:v>
                </c:pt>
                <c:pt idx="1">
                  <c:v>33.057777777777801</c:v>
                </c:pt>
                <c:pt idx="2">
                  <c:v>3.28</c:v>
                </c:pt>
                <c:pt idx="3">
                  <c:v>8.9644444444444407</c:v>
                </c:pt>
                <c:pt idx="4">
                  <c:v>5.93333333333333</c:v>
                </c:pt>
                <c:pt idx="5">
                  <c:v>4.4844444444444402</c:v>
                </c:pt>
                <c:pt idx="6">
                  <c:v>0.75111111111111095</c:v>
                </c:pt>
                <c:pt idx="7">
                  <c:v>1</c:v>
                </c:pt>
              </c:numCache>
            </c:numRef>
          </c:val>
          <c:extLst>
            <c:ext xmlns:c16="http://schemas.microsoft.com/office/drawing/2014/chart" uri="{C3380CC4-5D6E-409C-BE32-E72D297353CC}">
              <c16:uniqueId val="{00000001-F594-49F2-BF6E-CCDD9C35C008}"/>
            </c:ext>
          </c:extLst>
        </c:ser>
        <c:dLbls>
          <c:showLegendKey val="0"/>
          <c:showVal val="0"/>
          <c:showCatName val="0"/>
          <c:showSerName val="0"/>
          <c:showPercent val="0"/>
          <c:showBubbleSize val="0"/>
        </c:dLbls>
        <c:gapWidth val="219"/>
        <c:overlap val="-27"/>
        <c:axId val="2025315599"/>
        <c:axId val="110661471"/>
      </c:barChart>
      <c:catAx>
        <c:axId val="2025315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110661471"/>
        <c:crosses val="autoZero"/>
        <c:auto val="1"/>
        <c:lblAlgn val="ctr"/>
        <c:lblOffset val="100"/>
        <c:noMultiLvlLbl val="0"/>
      </c:catAx>
      <c:valAx>
        <c:axId val="11066147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20253155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72D9E-ED22-483B-867B-EC7BCFAD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5129</Words>
  <Characters>29241</Characters>
  <Application>Microsoft Office Word</Application>
  <DocSecurity>0</DocSecurity>
  <Lines>243</Lines>
  <Paragraphs>68</Paragraphs>
  <ScaleCrop>false</ScaleCrop>
  <Company>www.zte.com.cn</Company>
  <LinksUpToDate>false</LinksUpToDate>
  <CharactersWithSpaces>34302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ZTE</dc:creator>
  <cp:lastModifiedBy>ZTE</cp:lastModifiedBy>
  <cp:revision>3</cp:revision>
  <dcterms:created xsi:type="dcterms:W3CDTF">2025-03-03T14:07:00Z</dcterms:created>
  <dcterms:modified xsi:type="dcterms:W3CDTF">2025-03-03T14:11:00Z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41CFC8AF52B546D7953D01484FFB8F4A</vt:lpwstr>
  </property>
</Properties>
</file>